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140B" w14:textId="4C94DF27" w:rsidR="0054700D" w:rsidRPr="004E7329" w:rsidRDefault="000F361B" w:rsidP="00747741">
      <w:pPr>
        <w:spacing w:after="12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4E7329">
        <w:rPr>
          <w:rFonts w:ascii="Calibri" w:hAnsi="Calibri" w:cs="Calibri"/>
          <w:b/>
          <w:bCs/>
          <w:sz w:val="26"/>
          <w:szCs w:val="26"/>
        </w:rPr>
        <w:t>Términos de Referencia</w:t>
      </w:r>
    </w:p>
    <w:p w14:paraId="0F322ED0" w14:textId="5748C9F1" w:rsidR="00C02727" w:rsidRPr="004E7329" w:rsidRDefault="008D276A" w:rsidP="00747741">
      <w:pPr>
        <w:spacing w:after="12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4E7329">
        <w:rPr>
          <w:rFonts w:ascii="Calibri" w:hAnsi="Calibri" w:cs="Calibri"/>
          <w:b/>
          <w:bCs/>
          <w:sz w:val="26"/>
          <w:szCs w:val="26"/>
        </w:rPr>
        <w:t xml:space="preserve">Especialista </w:t>
      </w:r>
      <w:r w:rsidR="008A0552" w:rsidRPr="004E7329">
        <w:rPr>
          <w:rFonts w:ascii="Calibri" w:hAnsi="Calibri" w:cs="Calibri"/>
          <w:b/>
          <w:bCs/>
          <w:sz w:val="26"/>
          <w:szCs w:val="26"/>
        </w:rPr>
        <w:t>Ambiental</w:t>
      </w:r>
      <w:r w:rsidR="002277AE">
        <w:rPr>
          <w:rFonts w:ascii="Calibri" w:hAnsi="Calibri" w:cs="Calibri"/>
          <w:b/>
          <w:bCs/>
          <w:sz w:val="26"/>
          <w:szCs w:val="26"/>
        </w:rPr>
        <w:t xml:space="preserve"> y de Monitoreo, Evaluación y Aprendizaje</w:t>
      </w:r>
    </w:p>
    <w:p w14:paraId="0A4ABA85" w14:textId="77777777" w:rsidR="004C259C" w:rsidRPr="004E7329" w:rsidRDefault="004C259C" w:rsidP="004C259C">
      <w:pPr>
        <w:spacing w:after="120" w:line="240" w:lineRule="auto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4E7329">
        <w:rPr>
          <w:rFonts w:ascii="Calibri" w:hAnsi="Calibri" w:cs="Calibri"/>
          <w:b/>
          <w:bCs/>
          <w:sz w:val="26"/>
          <w:szCs w:val="26"/>
          <w:u w:val="single"/>
        </w:rPr>
        <w:t>Contexto</w:t>
      </w:r>
    </w:p>
    <w:p w14:paraId="6FE22494" w14:textId="77777777" w:rsidR="004C259C" w:rsidRPr="00E76B28" w:rsidRDefault="004C259C" w:rsidP="004C259C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76B28">
        <w:rPr>
          <w:rFonts w:ascii="Calibri" w:hAnsi="Calibri" w:cs="Calibri"/>
          <w:b/>
          <w:bCs/>
          <w:sz w:val="24"/>
          <w:szCs w:val="24"/>
        </w:rPr>
        <w:t>Investigación para el desarrollo (id)</w:t>
      </w:r>
    </w:p>
    <w:p w14:paraId="51A23EAC" w14:textId="77777777" w:rsidR="004C259C" w:rsidRPr="00E76B28" w:rsidRDefault="004C259C" w:rsidP="004C259C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E76B28">
        <w:rPr>
          <w:rFonts w:ascii="Calibri" w:hAnsi="Calibri" w:cs="Calibri"/>
          <w:sz w:val="24"/>
          <w:szCs w:val="24"/>
          <w:lang w:val="es-MX"/>
        </w:rPr>
        <w:t>Investigación para el Desarrollo – id, es un centro de investigación, constituido en el año 2003 con la misión de generar y socializar los conocimientos concernientes al Desarrollo y la contribución para el diseño y evaluación de Políticas Públicas con el fin de mejorar las condiciones de vida de la población. Es integrante de redes regionales de centros de generación y aplicación del conocimiento para el desarrollo.</w:t>
      </w:r>
    </w:p>
    <w:p w14:paraId="584B1E88" w14:textId="77777777" w:rsidR="004C259C" w:rsidRPr="00E76B28" w:rsidRDefault="004C259C" w:rsidP="004C259C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E76B28">
        <w:rPr>
          <w:rFonts w:ascii="Calibri" w:hAnsi="Calibri" w:cs="Calibri"/>
          <w:sz w:val="24"/>
          <w:szCs w:val="24"/>
          <w:lang w:val="es-MX"/>
        </w:rPr>
        <w:t>Su experiencia abarca investigaciones nacionales y regionales, aplicadas en las temáticas de: Economía, Desarrollo Territorial, Educación, Salud Pública, Clima y Recursos Naturales. Cuenta con un volumen importante de publicaciones al respecto de todo este abordaje: libros, documentos de trabajo impresos y digitales, y también artículos en revistas científicas nacionales e internacionales.</w:t>
      </w:r>
    </w:p>
    <w:p w14:paraId="54DF1D46" w14:textId="77777777" w:rsidR="004C259C" w:rsidRPr="00E76B28" w:rsidRDefault="004C259C" w:rsidP="004C259C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76B28">
        <w:rPr>
          <w:rFonts w:ascii="Calibri" w:hAnsi="Calibri" w:cs="Calibri"/>
          <w:b/>
          <w:bCs/>
          <w:sz w:val="24"/>
          <w:szCs w:val="24"/>
        </w:rPr>
        <w:t>Proyecto planetGOLD Paraguay (GEF ID 11112)</w:t>
      </w:r>
    </w:p>
    <w:p w14:paraId="0E72E66B" w14:textId="77777777" w:rsidR="004C259C" w:rsidRPr="00E76B28" w:rsidRDefault="004C259C" w:rsidP="004C259C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 xml:space="preserve">En 2014, Paraguay suscribió el Convenio de Minamata. Luego en 2018, el acuerdo fue ratificado mediante la Ley N ° 6036/2018. Considerando esta última, el país ha implementado diferentes medidas para garantizar la reducción y eliminación del mercurio en el sector de la MAPE. </w:t>
      </w:r>
    </w:p>
    <w:p w14:paraId="68FE3E22" w14:textId="77777777" w:rsidR="004C259C" w:rsidRPr="00E76B28" w:rsidRDefault="004C259C" w:rsidP="004C259C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El programa planetGOLD (www.planetgold.org), apoyado por el Fondo para el Medio Ambiente Mundial (GEF por sus siglas en inglés), trabaja en asociación con los gobiernos, el sector privado y las comunidades dedicadas a la extracción de oro artesanal y en pequeña escala para mejorar las prácticas de producción y el entorno laboral de los mineros artesanales y en pequeña escala, impulsando de forma sostenible su productividad al tiempo que se mejora la cadena de suministro de oro y se reduce la contaminación mundial por mercurio.</w:t>
      </w:r>
    </w:p>
    <w:p w14:paraId="3DAC72A9" w14:textId="77777777" w:rsidR="00692E4F" w:rsidRPr="00E76B28" w:rsidRDefault="00692E4F" w:rsidP="00DD573A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 xml:space="preserve">El proyecto incluye los siguientes cuatro componentes, además de la gestión del proyecto: </w:t>
      </w:r>
    </w:p>
    <w:p w14:paraId="1BB7851A" w14:textId="77777777" w:rsidR="00692E4F" w:rsidRPr="00E76B28" w:rsidRDefault="00692E4F" w:rsidP="00DD573A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 xml:space="preserve">Mejora de la formalización del sector de la extracción de oro artesanal y en pequeña escala. </w:t>
      </w:r>
    </w:p>
    <w:p w14:paraId="6A7A09C3" w14:textId="77777777" w:rsidR="00692E4F" w:rsidRPr="00E76B28" w:rsidRDefault="00692E4F" w:rsidP="00DD573A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 xml:space="preserve">Acceso a la financiación a través de la inclusión financiera y las cadenas de suministro responsables. </w:t>
      </w:r>
    </w:p>
    <w:p w14:paraId="66D57D71" w14:textId="77777777" w:rsidR="00692E4F" w:rsidRPr="00E76B28" w:rsidRDefault="00692E4F" w:rsidP="00DD573A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 xml:space="preserve">Mejora de la adopción de tecnologías sin mercurio e introducción de mejores prácticas. </w:t>
      </w:r>
    </w:p>
    <w:p w14:paraId="273A3EB4" w14:textId="77777777" w:rsidR="00692E4F" w:rsidRPr="00E76B28" w:rsidRDefault="00692E4F" w:rsidP="00DD573A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Intercambio de conocimientos, comunicación y apoyo a la capacitación local.</w:t>
      </w:r>
    </w:p>
    <w:p w14:paraId="3F67AE61" w14:textId="77777777" w:rsidR="004C259C" w:rsidRPr="00E76B28" w:rsidRDefault="004C259C" w:rsidP="00DD573A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Las actividades mineras de oro de Paraguay se concentran en el municipio de Paso Yobái, ubicado en el Departamento Guairá.</w:t>
      </w:r>
    </w:p>
    <w:p w14:paraId="07999B41" w14:textId="77777777" w:rsidR="004C259C" w:rsidRDefault="004C259C" w:rsidP="00DD573A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El MADES, autoridad de aplicación del Convenio de Minamata liderará el desarrollo del proyecto planetGOLD Paraguay y aplicará las actividades para el logro de los objetivos del proyecto, con el apoyo de Investigación para el Desarrollo - ID como agencia ejecutora y el Programa de Naciones Unidas para el Medio Ambiente - ONU Ambiente como agencia implementadora.</w:t>
      </w:r>
    </w:p>
    <w:p w14:paraId="6D560014" w14:textId="77777777" w:rsidR="004E7329" w:rsidRPr="00E76B28" w:rsidRDefault="004E7329" w:rsidP="00DD573A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2AAB7202" w14:textId="49EC3C58" w:rsidR="00A32908" w:rsidRPr="00E76B28" w:rsidRDefault="00A118BD" w:rsidP="00747741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76B28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In</w:t>
      </w:r>
      <w:r w:rsidR="00A32908" w:rsidRPr="00E76B28">
        <w:rPr>
          <w:rFonts w:ascii="Calibri" w:hAnsi="Calibri" w:cs="Calibri"/>
          <w:b/>
          <w:bCs/>
          <w:sz w:val="24"/>
          <w:szCs w:val="24"/>
          <w:u w:val="single"/>
        </w:rPr>
        <w:t>formación general</w:t>
      </w:r>
    </w:p>
    <w:p w14:paraId="27521BE8" w14:textId="22769252" w:rsidR="00692E4F" w:rsidRPr="00636420" w:rsidRDefault="00692E4F" w:rsidP="004E7329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636420">
        <w:rPr>
          <w:rFonts w:ascii="Calibri" w:hAnsi="Calibri" w:cs="Calibri"/>
          <w:sz w:val="24"/>
          <w:szCs w:val="24"/>
        </w:rPr>
        <w:t xml:space="preserve">El proyecto </w:t>
      </w:r>
      <w:hyperlink r:id="rId8" w:history="1">
        <w:r w:rsidRPr="009541B9">
          <w:rPr>
            <w:rStyle w:val="Hipervnculo"/>
            <w:rFonts w:ascii="Calibri" w:hAnsi="Calibri" w:cs="Calibri"/>
            <w:sz w:val="24"/>
            <w:szCs w:val="24"/>
          </w:rPr>
          <w:t>planetGOLD</w:t>
        </w:r>
      </w:hyperlink>
      <w:r w:rsidRPr="00636420">
        <w:rPr>
          <w:rFonts w:ascii="Calibri" w:hAnsi="Calibri" w:cs="Calibri"/>
          <w:sz w:val="24"/>
          <w:szCs w:val="24"/>
        </w:rPr>
        <w:t xml:space="preserve"> Paraguay busca promover una minería artesanal y de pequeña escala de oro más responsable, reduciendo impactos ambientales y sociales, así como fortaleciendo capacidades locales para la gestión sostenible de los recursos naturales.</w:t>
      </w:r>
    </w:p>
    <w:p w14:paraId="285F4FD4" w14:textId="26DA4366" w:rsidR="001106F7" w:rsidRPr="00636420" w:rsidRDefault="001E1EE6" w:rsidP="004E7329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s-ES"/>
        </w:rPr>
      </w:pPr>
      <w:r w:rsidRPr="00636420">
        <w:rPr>
          <w:rFonts w:ascii="Calibri" w:hAnsi="Calibri" w:cs="Calibri"/>
          <w:sz w:val="24"/>
          <w:szCs w:val="24"/>
        </w:rPr>
        <w:t xml:space="preserve">Bajo la supervisión de la Coordinación del Proyecto planetGOLD Paraguay y la administración de Investigación para el Desarrollo (id), el </w:t>
      </w:r>
      <w:r w:rsidRPr="00636420">
        <w:rPr>
          <w:rFonts w:ascii="Calibri" w:hAnsi="Calibri" w:cs="Calibri"/>
          <w:b/>
          <w:bCs/>
          <w:sz w:val="24"/>
          <w:szCs w:val="24"/>
        </w:rPr>
        <w:t>Especialista Ambiental</w:t>
      </w:r>
      <w:r w:rsidR="002277AE" w:rsidRPr="00636420">
        <w:rPr>
          <w:rFonts w:ascii="Calibri" w:hAnsi="Calibri" w:cs="Calibri"/>
          <w:b/>
          <w:bCs/>
          <w:sz w:val="24"/>
          <w:szCs w:val="24"/>
        </w:rPr>
        <w:t xml:space="preserve"> y de Monitoreo, Evaluación y Aprendizaje</w:t>
      </w:r>
      <w:r w:rsidRPr="00636420">
        <w:rPr>
          <w:rFonts w:ascii="Calibri" w:hAnsi="Calibri" w:cs="Calibri"/>
          <w:sz w:val="24"/>
          <w:szCs w:val="24"/>
        </w:rPr>
        <w:t xml:space="preserve"> coordinará la gestión ambiental del proyecto. Su función principal será asegurar el cumplimiento de las salvaguardas </w:t>
      </w:r>
      <w:r w:rsidR="00636420" w:rsidRPr="00636420">
        <w:rPr>
          <w:rFonts w:ascii="Calibri" w:hAnsi="Calibri" w:cs="Calibri"/>
          <w:sz w:val="24"/>
          <w:szCs w:val="24"/>
        </w:rPr>
        <w:t xml:space="preserve">ambientales </w:t>
      </w:r>
      <w:r w:rsidRPr="00636420">
        <w:rPr>
          <w:rFonts w:ascii="Calibri" w:hAnsi="Calibri" w:cs="Calibri"/>
          <w:sz w:val="24"/>
          <w:szCs w:val="24"/>
        </w:rPr>
        <w:t>del donante, en estrecha colaboración con las contrapartes nacionales y locales</w:t>
      </w:r>
      <w:r w:rsidR="001106F7" w:rsidRPr="00636420">
        <w:rPr>
          <w:rFonts w:ascii="Calibri" w:hAnsi="Calibri" w:cs="Calibri"/>
          <w:sz w:val="24"/>
          <w:szCs w:val="24"/>
          <w:lang w:val="es-ES"/>
        </w:rPr>
        <w:t>. De igual manera, garantizará la correcta aplicación de</w:t>
      </w:r>
      <w:r w:rsidR="00636420" w:rsidRPr="00636420">
        <w:rPr>
          <w:rFonts w:ascii="Calibri" w:hAnsi="Calibri" w:cs="Calibri"/>
          <w:sz w:val="24"/>
          <w:szCs w:val="24"/>
          <w:lang w:val="es-ES"/>
        </w:rPr>
        <w:t>l</w:t>
      </w:r>
      <w:r w:rsidR="001106F7" w:rsidRPr="00636420">
        <w:rPr>
          <w:rFonts w:ascii="Calibri" w:hAnsi="Calibri" w:cs="Calibri"/>
          <w:sz w:val="24"/>
          <w:szCs w:val="24"/>
          <w:lang w:val="es-ES"/>
        </w:rPr>
        <w:t xml:space="preserve"> Plan de Gestión Ambiental, y la integración de los criterios planetGOLD en las intervenciones mineras </w:t>
      </w:r>
      <w:r w:rsidR="00636420" w:rsidRPr="00636420">
        <w:rPr>
          <w:rFonts w:ascii="Calibri" w:hAnsi="Calibri" w:cs="Calibri"/>
          <w:sz w:val="24"/>
          <w:szCs w:val="24"/>
          <w:lang w:val="es-ES"/>
        </w:rPr>
        <w:t xml:space="preserve">beneficiarias </w:t>
      </w:r>
      <w:r w:rsidR="001106F7" w:rsidRPr="00636420">
        <w:rPr>
          <w:rFonts w:ascii="Calibri" w:hAnsi="Calibri" w:cs="Calibri"/>
          <w:sz w:val="24"/>
          <w:szCs w:val="24"/>
          <w:lang w:val="es-ES"/>
        </w:rPr>
        <w:t>durante la implementación</w:t>
      </w:r>
      <w:r w:rsidR="006D3665" w:rsidRPr="00636420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1106F7" w:rsidRPr="00636420">
        <w:rPr>
          <w:rFonts w:ascii="Calibri" w:hAnsi="Calibri" w:cs="Calibri"/>
          <w:sz w:val="24"/>
          <w:szCs w:val="24"/>
          <w:lang w:val="es-ES"/>
        </w:rPr>
        <w:t>del proyecto.</w:t>
      </w:r>
    </w:p>
    <w:p w14:paraId="12C38F9D" w14:textId="1E5857F5" w:rsidR="006D3665" w:rsidRPr="00E76B28" w:rsidRDefault="003D2200" w:rsidP="004E7329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s-ES"/>
        </w:rPr>
      </w:pPr>
      <w:r w:rsidRPr="002B502C">
        <w:rPr>
          <w:rFonts w:ascii="Calibri" w:hAnsi="Calibri" w:cs="Calibri"/>
          <w:sz w:val="24"/>
          <w:szCs w:val="24"/>
          <w:lang w:val="es-ES"/>
        </w:rPr>
        <w:t xml:space="preserve">Además, el mismo se deberá asegurar </w:t>
      </w:r>
      <w:r w:rsidRPr="002B502C">
        <w:rPr>
          <w:rFonts w:ascii="Calibri" w:hAnsi="Calibri" w:cs="Calibri"/>
          <w:sz w:val="24"/>
          <w:szCs w:val="24"/>
        </w:rPr>
        <w:t>el seguimiento técnico, la medición de indicadores de impacto y la gestión de resultados del proyecto planetGOLD Paraguay</w:t>
      </w:r>
      <w:r w:rsidR="002B502C" w:rsidRPr="002B502C">
        <w:rPr>
          <w:rFonts w:ascii="Calibri" w:hAnsi="Calibri" w:cs="Calibri"/>
          <w:sz w:val="24"/>
          <w:szCs w:val="24"/>
        </w:rPr>
        <w:t xml:space="preserve"> bajo la supervisión y orientación de la Coordinación del Proyecto</w:t>
      </w:r>
      <w:r w:rsidRPr="002B502C">
        <w:rPr>
          <w:rFonts w:ascii="Calibri" w:hAnsi="Calibri" w:cs="Calibri"/>
          <w:sz w:val="24"/>
          <w:szCs w:val="24"/>
        </w:rPr>
        <w:t>. El especialista será responsable de diseñar y ejecutar el sistema de Monitoreo</w:t>
      </w:r>
      <w:r w:rsidR="002B502C" w:rsidRPr="002B502C">
        <w:rPr>
          <w:rFonts w:ascii="Calibri" w:hAnsi="Calibri" w:cs="Calibri"/>
          <w:sz w:val="24"/>
          <w:szCs w:val="24"/>
        </w:rPr>
        <w:t>,</w:t>
      </w:r>
      <w:r w:rsidRPr="002B502C">
        <w:rPr>
          <w:rFonts w:ascii="Calibri" w:hAnsi="Calibri" w:cs="Calibri"/>
          <w:sz w:val="24"/>
          <w:szCs w:val="24"/>
        </w:rPr>
        <w:t xml:space="preserve"> Evaluación</w:t>
      </w:r>
      <w:r w:rsidR="002B502C" w:rsidRPr="002B502C">
        <w:rPr>
          <w:rFonts w:ascii="Calibri" w:hAnsi="Calibri" w:cs="Calibri"/>
          <w:sz w:val="24"/>
          <w:szCs w:val="24"/>
        </w:rPr>
        <w:t xml:space="preserve"> y Aprendizaje</w:t>
      </w:r>
      <w:r w:rsidR="0079382E" w:rsidRPr="002B502C">
        <w:rPr>
          <w:rFonts w:ascii="Calibri" w:hAnsi="Calibri" w:cs="Calibri"/>
          <w:sz w:val="24"/>
          <w:szCs w:val="24"/>
        </w:rPr>
        <w:t xml:space="preserve">, siguiendo </w:t>
      </w:r>
      <w:r w:rsidR="002B502C" w:rsidRPr="002B502C">
        <w:rPr>
          <w:rFonts w:ascii="Calibri" w:hAnsi="Calibri" w:cs="Calibri"/>
          <w:sz w:val="24"/>
          <w:szCs w:val="24"/>
        </w:rPr>
        <w:t xml:space="preserve">las guías del GEF, PNUMA así como </w:t>
      </w:r>
      <w:r w:rsidR="0079382E" w:rsidRPr="002B502C">
        <w:rPr>
          <w:rFonts w:ascii="Calibri" w:hAnsi="Calibri" w:cs="Calibri"/>
          <w:sz w:val="24"/>
          <w:szCs w:val="24"/>
        </w:rPr>
        <w:t xml:space="preserve">el documento </w:t>
      </w:r>
      <w:hyperlink r:id="rId9" w:tgtFrame="_blank" w:tooltip="https://www.planetgold.org/sites/default/files/Guidance%20on%20Calculation%20of%20Cross%20Program%20Indicators_SP%20final_01-2024.pdf" w:history="1">
        <w:r w:rsidR="0079382E" w:rsidRPr="002B502C">
          <w:rPr>
            <w:rStyle w:val="Hipervnculo"/>
            <w:sz w:val="24"/>
            <w:szCs w:val="24"/>
            <w:lang w:val="es-MX"/>
          </w:rPr>
          <w:t>metodología de planetGOLD para los indicadores clave del programa</w:t>
        </w:r>
      </w:hyperlink>
      <w:r w:rsidR="0079382E" w:rsidRPr="002B502C">
        <w:rPr>
          <w:sz w:val="24"/>
          <w:szCs w:val="24"/>
          <w:lang w:val="es-MX"/>
        </w:rPr>
        <w:t xml:space="preserve">, </w:t>
      </w:r>
      <w:r w:rsidRPr="002B502C">
        <w:rPr>
          <w:rFonts w:ascii="Calibri" w:hAnsi="Calibri" w:cs="Calibri"/>
          <w:sz w:val="24"/>
          <w:szCs w:val="24"/>
        </w:rPr>
        <w:t xml:space="preserve"> </w:t>
      </w:r>
      <w:r w:rsidR="0092511F" w:rsidRPr="002B502C">
        <w:rPr>
          <w:rFonts w:ascii="Calibri" w:hAnsi="Calibri" w:cs="Calibri"/>
          <w:sz w:val="24"/>
          <w:szCs w:val="24"/>
        </w:rPr>
        <w:t>sobre las cuales el proyecto debe reportar anualmente.</w:t>
      </w:r>
    </w:p>
    <w:p w14:paraId="03E6A144" w14:textId="7D91F00B" w:rsidR="00A32908" w:rsidRPr="00E76B28" w:rsidRDefault="002C3E00" w:rsidP="004E73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76B28">
        <w:rPr>
          <w:rFonts w:ascii="Calibri" w:hAnsi="Calibri" w:cs="Calibri"/>
          <w:b/>
          <w:bCs/>
          <w:sz w:val="24"/>
          <w:szCs w:val="24"/>
        </w:rPr>
        <w:t xml:space="preserve">Ubicación: </w:t>
      </w:r>
      <w:r w:rsidR="003C0B6D" w:rsidRPr="00E76B28">
        <w:rPr>
          <w:rFonts w:ascii="Calibri" w:hAnsi="Calibri" w:cs="Calibri"/>
          <w:sz w:val="24"/>
          <w:szCs w:val="24"/>
        </w:rPr>
        <w:t>Asunción</w:t>
      </w:r>
      <w:r w:rsidR="00DC319B" w:rsidRPr="00E76B28">
        <w:rPr>
          <w:rFonts w:ascii="Calibri" w:hAnsi="Calibri" w:cs="Calibri"/>
          <w:sz w:val="24"/>
          <w:szCs w:val="24"/>
        </w:rPr>
        <w:t xml:space="preserve">, </w:t>
      </w:r>
      <w:r w:rsidRPr="00E76B28">
        <w:rPr>
          <w:rFonts w:ascii="Calibri" w:hAnsi="Calibri" w:cs="Calibri"/>
          <w:sz w:val="24"/>
          <w:szCs w:val="24"/>
        </w:rPr>
        <w:t>Paraguay</w:t>
      </w:r>
      <w:r w:rsidR="00DC319B" w:rsidRPr="00E76B28">
        <w:rPr>
          <w:rFonts w:ascii="Calibri" w:hAnsi="Calibri" w:cs="Calibri"/>
          <w:sz w:val="24"/>
          <w:szCs w:val="24"/>
        </w:rPr>
        <w:t>. S</w:t>
      </w:r>
      <w:r w:rsidRPr="00E76B28">
        <w:rPr>
          <w:rFonts w:ascii="Calibri" w:hAnsi="Calibri" w:cs="Calibri"/>
          <w:sz w:val="24"/>
          <w:szCs w:val="24"/>
        </w:rPr>
        <w:t>e requ</w:t>
      </w:r>
      <w:r w:rsidR="00A118BD" w:rsidRPr="00E76B28">
        <w:rPr>
          <w:rFonts w:ascii="Calibri" w:hAnsi="Calibri" w:cs="Calibri"/>
          <w:sz w:val="24"/>
          <w:szCs w:val="24"/>
        </w:rPr>
        <w:t>iere</w:t>
      </w:r>
      <w:r w:rsidRPr="00E76B28">
        <w:rPr>
          <w:rFonts w:ascii="Calibri" w:hAnsi="Calibri" w:cs="Calibri"/>
          <w:sz w:val="24"/>
          <w:szCs w:val="24"/>
        </w:rPr>
        <w:t xml:space="preserve"> disponibilidad para viajar dentro del país</w:t>
      </w:r>
      <w:r w:rsidR="00AA21E7" w:rsidRPr="00E76B28">
        <w:rPr>
          <w:rFonts w:ascii="Calibri" w:hAnsi="Calibri" w:cs="Calibri"/>
          <w:sz w:val="24"/>
          <w:szCs w:val="24"/>
        </w:rPr>
        <w:t xml:space="preserve"> y a nivel internacional</w:t>
      </w:r>
      <w:r w:rsidR="00BE599D" w:rsidRPr="00E76B28">
        <w:rPr>
          <w:rFonts w:ascii="Calibri" w:hAnsi="Calibri" w:cs="Calibri"/>
          <w:sz w:val="24"/>
          <w:szCs w:val="24"/>
        </w:rPr>
        <w:t>. Es importante mencionar qu</w:t>
      </w:r>
      <w:r w:rsidRPr="00E76B28">
        <w:rPr>
          <w:rFonts w:ascii="Calibri" w:hAnsi="Calibri" w:cs="Calibri"/>
          <w:sz w:val="24"/>
          <w:szCs w:val="24"/>
        </w:rPr>
        <w:t xml:space="preserve">e </w:t>
      </w:r>
      <w:r w:rsidR="009E1D27" w:rsidRPr="00E76B28">
        <w:rPr>
          <w:rFonts w:ascii="Calibri" w:hAnsi="Calibri" w:cs="Calibri"/>
          <w:sz w:val="24"/>
          <w:szCs w:val="24"/>
        </w:rPr>
        <w:t xml:space="preserve">el puesto es de oficina </w:t>
      </w:r>
      <w:r w:rsidR="00BE599D" w:rsidRPr="00E76B28">
        <w:rPr>
          <w:rFonts w:ascii="Calibri" w:hAnsi="Calibri" w:cs="Calibri"/>
          <w:sz w:val="24"/>
          <w:szCs w:val="24"/>
        </w:rPr>
        <w:t>con sede en el Ministerio del Ambiente y Desarrollo Sostenible</w:t>
      </w:r>
      <w:r w:rsidR="00A464F3" w:rsidRPr="00E76B28">
        <w:rPr>
          <w:rFonts w:ascii="Calibri" w:hAnsi="Calibri" w:cs="Calibri"/>
          <w:sz w:val="24"/>
          <w:szCs w:val="24"/>
        </w:rPr>
        <w:t xml:space="preserve"> (MADES)</w:t>
      </w:r>
      <w:r w:rsidR="00BE599D" w:rsidRPr="00E76B28">
        <w:rPr>
          <w:rFonts w:ascii="Calibri" w:hAnsi="Calibri" w:cs="Calibri"/>
          <w:sz w:val="24"/>
          <w:szCs w:val="24"/>
        </w:rPr>
        <w:t xml:space="preserve">, horario diario de 8 (ocho) horas y </w:t>
      </w:r>
      <w:r w:rsidR="009E1D27" w:rsidRPr="00E76B28">
        <w:rPr>
          <w:rFonts w:ascii="Calibri" w:hAnsi="Calibri" w:cs="Calibri"/>
          <w:sz w:val="24"/>
          <w:szCs w:val="24"/>
        </w:rPr>
        <w:t>con visitas periódicas a campo.</w:t>
      </w:r>
    </w:p>
    <w:p w14:paraId="25839628" w14:textId="4034F624" w:rsidR="00C00E61" w:rsidRPr="00E76B28" w:rsidRDefault="00C00E61" w:rsidP="004E7329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b/>
          <w:bCs/>
          <w:sz w:val="24"/>
          <w:szCs w:val="24"/>
        </w:rPr>
        <w:t xml:space="preserve">Remuneración: </w:t>
      </w:r>
      <w:r w:rsidRPr="00E76B28">
        <w:rPr>
          <w:rFonts w:ascii="Calibri" w:hAnsi="Calibri" w:cs="Calibri"/>
          <w:sz w:val="24"/>
          <w:szCs w:val="24"/>
        </w:rPr>
        <w:t>Negociable, según nivel de experiencia y fondos del proyecto.</w:t>
      </w:r>
    </w:p>
    <w:p w14:paraId="6DF10C90" w14:textId="77777777" w:rsidR="009406F4" w:rsidRPr="004E7329" w:rsidRDefault="009406F4" w:rsidP="009406F4">
      <w:pPr>
        <w:spacing w:after="120" w:line="240" w:lineRule="auto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4E7329">
        <w:rPr>
          <w:rFonts w:ascii="Calibri" w:hAnsi="Calibri" w:cs="Calibri"/>
          <w:b/>
          <w:bCs/>
          <w:sz w:val="26"/>
          <w:szCs w:val="26"/>
          <w:u w:val="single"/>
        </w:rPr>
        <w:t>Detalles de la consultoría</w:t>
      </w:r>
    </w:p>
    <w:p w14:paraId="6DD7ACEF" w14:textId="60A209BF" w:rsidR="00D22DC5" w:rsidRPr="00E76B28" w:rsidRDefault="00861877" w:rsidP="004E7329">
      <w:pPr>
        <w:pStyle w:val="Default"/>
        <w:spacing w:after="120" w:line="276" w:lineRule="auto"/>
        <w:jc w:val="both"/>
        <w:rPr>
          <w:rFonts w:ascii="Calibri" w:hAnsi="Calibri" w:cs="Calibri"/>
          <w:b/>
          <w:bCs/>
          <w:lang w:val="es-MX"/>
        </w:rPr>
      </w:pPr>
      <w:r w:rsidRPr="00E76B28">
        <w:rPr>
          <w:rFonts w:ascii="Calibri" w:hAnsi="Calibri" w:cs="Calibri"/>
          <w:b/>
          <w:bCs/>
          <w:lang w:val="es-MX"/>
        </w:rPr>
        <w:t xml:space="preserve">Objetivo </w:t>
      </w:r>
      <w:r w:rsidR="002277AE">
        <w:rPr>
          <w:rFonts w:ascii="Calibri" w:hAnsi="Calibri" w:cs="Calibri"/>
          <w:b/>
          <w:bCs/>
          <w:lang w:val="es-MX"/>
        </w:rPr>
        <w:t>g</w:t>
      </w:r>
      <w:r w:rsidRPr="00E76B28">
        <w:rPr>
          <w:rFonts w:ascii="Calibri" w:hAnsi="Calibri" w:cs="Calibri"/>
          <w:b/>
          <w:bCs/>
          <w:lang w:val="es-MX"/>
        </w:rPr>
        <w:t xml:space="preserve">eneral </w:t>
      </w:r>
      <w:r w:rsidR="006E65C6" w:rsidRPr="00E76B28">
        <w:rPr>
          <w:rFonts w:ascii="Calibri" w:hAnsi="Calibri" w:cs="Calibri"/>
          <w:b/>
          <w:bCs/>
          <w:lang w:val="es-MX"/>
        </w:rPr>
        <w:t>del cargo</w:t>
      </w:r>
      <w:r w:rsidRPr="00E76B28">
        <w:rPr>
          <w:rFonts w:ascii="Calibri" w:hAnsi="Calibri" w:cs="Calibri"/>
          <w:b/>
          <w:bCs/>
          <w:lang w:val="es-MX"/>
        </w:rPr>
        <w:t>:</w:t>
      </w:r>
      <w:r w:rsidR="00D22DC5" w:rsidRPr="00E76B28">
        <w:rPr>
          <w:rFonts w:ascii="Calibri" w:hAnsi="Calibri" w:cs="Calibri"/>
          <w:b/>
          <w:bCs/>
          <w:lang w:val="es-MX"/>
        </w:rPr>
        <w:t xml:space="preserve"> </w:t>
      </w:r>
      <w:r w:rsidR="002277AE">
        <w:rPr>
          <w:rFonts w:ascii="Calibri" w:hAnsi="Calibri" w:cs="Calibri"/>
          <w:lang w:val="es"/>
        </w:rPr>
        <w:t>G</w:t>
      </w:r>
      <w:r w:rsidR="000E327A" w:rsidRPr="00E76B28">
        <w:rPr>
          <w:rFonts w:ascii="Calibri" w:hAnsi="Calibri" w:cs="Calibri"/>
          <w:lang w:val="es"/>
        </w:rPr>
        <w:t xml:space="preserve">arantizar la integridad ambiental del proyecto planetGOLD Paraguay mediante la supervisión técnica de </w:t>
      </w:r>
      <w:r w:rsidR="002277AE">
        <w:rPr>
          <w:rFonts w:ascii="Calibri" w:hAnsi="Calibri" w:cs="Calibri"/>
          <w:lang w:val="es"/>
        </w:rPr>
        <w:t xml:space="preserve">las </w:t>
      </w:r>
      <w:r w:rsidR="000E327A" w:rsidRPr="00E76B28">
        <w:rPr>
          <w:rFonts w:ascii="Calibri" w:hAnsi="Calibri" w:cs="Calibri"/>
          <w:lang w:val="es"/>
        </w:rPr>
        <w:t>salvaguardas</w:t>
      </w:r>
      <w:r w:rsidR="002277AE">
        <w:rPr>
          <w:rFonts w:ascii="Calibri" w:hAnsi="Calibri" w:cs="Calibri"/>
          <w:lang w:val="es"/>
        </w:rPr>
        <w:t xml:space="preserve"> ambientales,</w:t>
      </w:r>
      <w:r w:rsidR="000E327A" w:rsidRPr="00E76B28">
        <w:rPr>
          <w:rFonts w:ascii="Calibri" w:hAnsi="Calibri" w:cs="Calibri"/>
          <w:lang w:val="es"/>
        </w:rPr>
        <w:t xml:space="preserve"> y la ejecución </w:t>
      </w:r>
      <w:r w:rsidR="002277AE">
        <w:rPr>
          <w:rFonts w:ascii="Calibri" w:hAnsi="Calibri" w:cs="Calibri"/>
          <w:lang w:val="es"/>
        </w:rPr>
        <w:t xml:space="preserve">y actualización </w:t>
      </w:r>
      <w:r w:rsidR="000E327A" w:rsidRPr="00E76B28">
        <w:rPr>
          <w:rFonts w:ascii="Calibri" w:hAnsi="Calibri" w:cs="Calibri"/>
          <w:lang w:val="es"/>
        </w:rPr>
        <w:t xml:space="preserve">de </w:t>
      </w:r>
      <w:r w:rsidR="002277AE">
        <w:rPr>
          <w:rFonts w:ascii="Calibri" w:hAnsi="Calibri" w:cs="Calibri"/>
          <w:lang w:val="es"/>
        </w:rPr>
        <w:t>instrumentos de gestión</w:t>
      </w:r>
      <w:r w:rsidR="000E327A" w:rsidRPr="00E76B28">
        <w:rPr>
          <w:rFonts w:ascii="Calibri" w:hAnsi="Calibri" w:cs="Calibri"/>
          <w:lang w:val="es"/>
        </w:rPr>
        <w:t xml:space="preserve">, </w:t>
      </w:r>
      <w:r w:rsidR="002277AE">
        <w:rPr>
          <w:rFonts w:ascii="Calibri" w:hAnsi="Calibri" w:cs="Calibri"/>
          <w:lang w:val="es"/>
        </w:rPr>
        <w:t>y el seguimiento del cumplimiento de los estándares del donante (GEF), PNUMA, el programa planetGOLD y la normativa nacional aplicable</w:t>
      </w:r>
      <w:r w:rsidR="000E327A" w:rsidRPr="00E76B28">
        <w:rPr>
          <w:rFonts w:ascii="Calibri" w:hAnsi="Calibri" w:cs="Calibri"/>
          <w:lang w:val="es"/>
        </w:rPr>
        <w:t>.</w:t>
      </w:r>
    </w:p>
    <w:p w14:paraId="6C9F3F38" w14:textId="3D049F40" w:rsidR="00861877" w:rsidRPr="00E76B28" w:rsidRDefault="00681938" w:rsidP="004E7329">
      <w:pPr>
        <w:pStyle w:val="Default"/>
        <w:spacing w:after="120" w:line="276" w:lineRule="auto"/>
        <w:jc w:val="both"/>
        <w:rPr>
          <w:rFonts w:ascii="Calibri" w:hAnsi="Calibri" w:cs="Calibri"/>
          <w:lang w:val="es"/>
        </w:rPr>
      </w:pPr>
      <w:r w:rsidRPr="00E76B28">
        <w:rPr>
          <w:rFonts w:ascii="Calibri" w:hAnsi="Calibri" w:cs="Calibri"/>
          <w:lang w:val="es"/>
        </w:rPr>
        <w:t>Además</w:t>
      </w:r>
      <w:r w:rsidR="00D22DC5" w:rsidRPr="00E76B28">
        <w:rPr>
          <w:rFonts w:ascii="Calibri" w:hAnsi="Calibri" w:cs="Calibri"/>
          <w:lang w:val="es"/>
        </w:rPr>
        <w:t xml:space="preserve">, </w:t>
      </w:r>
      <w:r w:rsidR="002277AE" w:rsidRPr="002277AE">
        <w:rPr>
          <w:rFonts w:ascii="Calibri" w:hAnsi="Calibri" w:cs="Calibri"/>
          <w:lang w:val="es"/>
        </w:rPr>
        <w:t>el/la Especialista será responsable de apoyar el diseño, implementación y actualización del sistema de Monitoreo, Evaluación y Aprendizaje del proyecto, incluyendo la medición de indicadores, el seguimiento del marco de resultados, la documentación de lecciones aprendidas y la generación de información técnica para la toma de decisiones, la preparación de informes y la mejora continua del proyecto.</w:t>
      </w:r>
    </w:p>
    <w:p w14:paraId="251CAFC2" w14:textId="1D70FDF5" w:rsidR="000841B5" w:rsidRPr="004E7329" w:rsidRDefault="005B3B35" w:rsidP="004E7329">
      <w:pPr>
        <w:spacing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E7329">
        <w:rPr>
          <w:rFonts w:ascii="Calibri" w:hAnsi="Calibri" w:cs="Calibri"/>
          <w:b/>
          <w:bCs/>
          <w:sz w:val="24"/>
          <w:szCs w:val="24"/>
        </w:rPr>
        <w:t>Tareas detalladas y resultados esperados</w:t>
      </w:r>
    </w:p>
    <w:p w14:paraId="57810563" w14:textId="17070F1F" w:rsidR="00206C38" w:rsidRPr="00E76B28" w:rsidRDefault="00E133C5" w:rsidP="004E7329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s-ES"/>
        </w:rPr>
      </w:pPr>
      <w:r w:rsidRPr="00E76B28">
        <w:rPr>
          <w:rFonts w:ascii="Calibri" w:hAnsi="Calibri" w:cs="Calibri"/>
          <w:sz w:val="24"/>
          <w:szCs w:val="24"/>
          <w:lang w:val="es-ES"/>
        </w:rPr>
        <w:t>Las responsabilidades específicas del especialista financiero son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8"/>
        <w:gridCol w:w="4758"/>
      </w:tblGrid>
      <w:tr w:rsidR="00195254" w:rsidRPr="00E76B28" w14:paraId="4E00FA67" w14:textId="77777777" w:rsidTr="00E76B28">
        <w:trPr>
          <w:tblHeader/>
        </w:trPr>
        <w:tc>
          <w:tcPr>
            <w:tcW w:w="4758" w:type="dxa"/>
          </w:tcPr>
          <w:p w14:paraId="01CB48BF" w14:textId="68BB23E0" w:rsidR="00195254" w:rsidRPr="00E76B28" w:rsidRDefault="00195254" w:rsidP="00E76B28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E76B28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Tareas</w:t>
            </w:r>
          </w:p>
        </w:tc>
        <w:tc>
          <w:tcPr>
            <w:tcW w:w="4758" w:type="dxa"/>
          </w:tcPr>
          <w:p w14:paraId="6EB26CB3" w14:textId="099E6F3E" w:rsidR="00195254" w:rsidRPr="00E76B28" w:rsidRDefault="00195254" w:rsidP="00E76B28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E76B28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Resultados</w:t>
            </w:r>
          </w:p>
        </w:tc>
      </w:tr>
      <w:tr w:rsidR="00195254" w:rsidRPr="00E76B28" w14:paraId="2B4B83D2" w14:textId="77777777" w:rsidTr="00195254">
        <w:tc>
          <w:tcPr>
            <w:tcW w:w="4758" w:type="dxa"/>
          </w:tcPr>
          <w:p w14:paraId="16931710" w14:textId="515332F9" w:rsidR="00195254" w:rsidRPr="00E76B28" w:rsidRDefault="00F804C6" w:rsidP="00E87BB4">
            <w:pPr>
              <w:pStyle w:val="Default"/>
              <w:tabs>
                <w:tab w:val="left" w:pos="284"/>
              </w:tabs>
              <w:spacing w:after="120" w:line="276" w:lineRule="auto"/>
              <w:jc w:val="both"/>
              <w:rPr>
                <w:rFonts w:ascii="Calibri" w:hAnsi="Calibri" w:cs="Calibri"/>
                <w:lang w:val="es-MX"/>
              </w:rPr>
            </w:pPr>
            <w:r w:rsidRPr="00E76B28">
              <w:rPr>
                <w:rFonts w:ascii="Calibri" w:hAnsi="Calibri" w:cs="Calibri"/>
                <w:lang w:val="es"/>
              </w:rPr>
              <w:t>Coordinar</w:t>
            </w:r>
            <w:r w:rsidR="00E87BB4" w:rsidRPr="00E76B28">
              <w:rPr>
                <w:rFonts w:ascii="Calibri" w:hAnsi="Calibri" w:cs="Calibri"/>
                <w:lang w:val="es"/>
              </w:rPr>
              <w:t xml:space="preserve"> con el equipo del proyecto, consultores y socios </w:t>
            </w:r>
            <w:r w:rsidR="002277AE">
              <w:rPr>
                <w:rFonts w:ascii="Calibri" w:hAnsi="Calibri" w:cs="Calibri"/>
                <w:lang w:val="es"/>
              </w:rPr>
              <w:t>la</w:t>
            </w:r>
            <w:r w:rsidR="002277AE" w:rsidRPr="00E76B28">
              <w:rPr>
                <w:rFonts w:ascii="Calibri" w:hAnsi="Calibri" w:cs="Calibri"/>
                <w:lang w:val="es"/>
              </w:rPr>
              <w:t xml:space="preserve"> </w:t>
            </w:r>
            <w:r w:rsidR="00E87BB4" w:rsidRPr="00E76B28">
              <w:rPr>
                <w:rFonts w:ascii="Calibri" w:hAnsi="Calibri" w:cs="Calibri"/>
                <w:lang w:val="es"/>
              </w:rPr>
              <w:t>planifica</w:t>
            </w:r>
            <w:r w:rsidR="002277AE">
              <w:rPr>
                <w:rFonts w:ascii="Calibri" w:hAnsi="Calibri" w:cs="Calibri"/>
                <w:lang w:val="es"/>
              </w:rPr>
              <w:t>ción</w:t>
            </w:r>
            <w:r w:rsidR="00E87BB4" w:rsidRPr="00E76B28">
              <w:rPr>
                <w:rFonts w:ascii="Calibri" w:hAnsi="Calibri" w:cs="Calibri"/>
                <w:lang w:val="es"/>
              </w:rPr>
              <w:t xml:space="preserve">, </w:t>
            </w:r>
            <w:r w:rsidR="00E87BB4" w:rsidRPr="00E76B28">
              <w:rPr>
                <w:rFonts w:ascii="Calibri" w:hAnsi="Calibri" w:cs="Calibri"/>
                <w:lang w:val="es"/>
              </w:rPr>
              <w:lastRenderedPageBreak/>
              <w:t>implementa</w:t>
            </w:r>
            <w:r w:rsidR="002277AE">
              <w:rPr>
                <w:rFonts w:ascii="Calibri" w:hAnsi="Calibri" w:cs="Calibri"/>
                <w:lang w:val="es"/>
              </w:rPr>
              <w:t>ción</w:t>
            </w:r>
            <w:r w:rsidR="00E87BB4" w:rsidRPr="00E76B28">
              <w:rPr>
                <w:rFonts w:ascii="Calibri" w:hAnsi="Calibri" w:cs="Calibri"/>
                <w:lang w:val="es"/>
              </w:rPr>
              <w:t xml:space="preserve"> y supervis</w:t>
            </w:r>
            <w:r w:rsidR="002277AE">
              <w:rPr>
                <w:rFonts w:ascii="Calibri" w:hAnsi="Calibri" w:cs="Calibri"/>
                <w:lang w:val="es"/>
              </w:rPr>
              <w:t>ión de las</w:t>
            </w:r>
            <w:r w:rsidR="00E87BB4" w:rsidRPr="00E76B28">
              <w:rPr>
                <w:rFonts w:ascii="Calibri" w:hAnsi="Calibri" w:cs="Calibri"/>
                <w:lang w:val="es"/>
              </w:rPr>
              <w:t xml:space="preserve"> salvaguardas medioambientales, incluyendo visitas regulares al lugar y reuniones de revisión</w:t>
            </w:r>
          </w:p>
        </w:tc>
        <w:tc>
          <w:tcPr>
            <w:tcW w:w="4758" w:type="dxa"/>
          </w:tcPr>
          <w:p w14:paraId="0C8554B8" w14:textId="08964DA9" w:rsidR="00731C0F" w:rsidRPr="00731C0F" w:rsidRDefault="00731C0F" w:rsidP="00731C0F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31C0F">
              <w:rPr>
                <w:rFonts w:ascii="Calibri" w:hAnsi="Calibri" w:cs="Calibri"/>
                <w:sz w:val="24"/>
                <w:szCs w:val="24"/>
                <w:lang w:val="es-ES"/>
              </w:rPr>
              <w:lastRenderedPageBreak/>
              <w:t>Plan</w:t>
            </w:r>
            <w:r w:rsidR="00E40313" w:rsidRPr="00E76B28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277AE">
              <w:rPr>
                <w:rFonts w:ascii="Calibri" w:hAnsi="Calibri" w:cs="Calibri"/>
                <w:sz w:val="24"/>
                <w:szCs w:val="24"/>
                <w:lang w:val="es-ES"/>
              </w:rPr>
              <w:t>de</w:t>
            </w:r>
            <w:r w:rsidRPr="00731C0F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Gestión Ambiental y Social (</w:t>
            </w:r>
            <w:r w:rsidR="00A923B4" w:rsidRPr="00E76B28">
              <w:rPr>
                <w:rFonts w:ascii="Calibri" w:hAnsi="Calibri" w:cs="Calibri"/>
                <w:sz w:val="24"/>
                <w:szCs w:val="24"/>
                <w:lang w:val="es-ES"/>
              </w:rPr>
              <w:t>PGAS</w:t>
            </w:r>
            <w:r w:rsidRPr="00731C0F">
              <w:rPr>
                <w:rFonts w:ascii="Calibri" w:hAnsi="Calibri" w:cs="Calibri"/>
                <w:sz w:val="24"/>
                <w:szCs w:val="24"/>
                <w:lang w:val="es-ES"/>
              </w:rPr>
              <w:t>)</w:t>
            </w:r>
            <w:r w:rsidRPr="00E76B28">
              <w:rPr>
                <w:rFonts w:ascii="Calibri" w:hAnsi="Calibri" w:cs="Calibri"/>
                <w:sz w:val="24"/>
                <w:szCs w:val="24"/>
                <w:lang w:val="es-ES"/>
              </w:rPr>
              <w:t xml:space="preserve">, </w:t>
            </w:r>
            <w:r w:rsidR="00E40313" w:rsidRPr="00E76B28">
              <w:rPr>
                <w:rFonts w:ascii="Calibri" w:hAnsi="Calibri" w:cs="Calibri"/>
                <w:sz w:val="24"/>
                <w:szCs w:val="24"/>
                <w:lang w:val="es-ES"/>
              </w:rPr>
              <w:t>actualizado en la dimensión ambiental.</w:t>
            </w:r>
            <w:r w:rsidR="002277AE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Matriz </w:t>
            </w:r>
            <w:r w:rsidR="002277AE">
              <w:rPr>
                <w:rFonts w:ascii="Calibri" w:hAnsi="Calibri" w:cs="Calibri"/>
                <w:sz w:val="24"/>
                <w:szCs w:val="24"/>
                <w:lang w:val="es-ES"/>
              </w:rPr>
              <w:lastRenderedPageBreak/>
              <w:t>de medidas de mitigación actualizada y registro de cumplimiento de salvaguardas.</w:t>
            </w:r>
          </w:p>
          <w:p w14:paraId="23E88BE5" w14:textId="45A0F577" w:rsidR="00195254" w:rsidRPr="00E76B28" w:rsidRDefault="002277AE" w:rsidP="00731C0F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Cronograma de seguimiento de salvaguardas; insumos técnicos para la planificación operativa anual.</w:t>
            </w:r>
          </w:p>
        </w:tc>
      </w:tr>
      <w:tr w:rsidR="002277AE" w:rsidRPr="00E76B28" w14:paraId="75C66CED" w14:textId="77777777" w:rsidTr="00195254">
        <w:tc>
          <w:tcPr>
            <w:tcW w:w="4758" w:type="dxa"/>
          </w:tcPr>
          <w:p w14:paraId="07D9894A" w14:textId="43BCA9E0" w:rsidR="002277AE" w:rsidRPr="00E76B28" w:rsidRDefault="002277AE" w:rsidP="007E46E2">
            <w:pPr>
              <w:pStyle w:val="Default"/>
              <w:tabs>
                <w:tab w:val="left" w:pos="284"/>
              </w:tabs>
              <w:spacing w:after="120" w:line="276" w:lineRule="auto"/>
              <w:jc w:val="both"/>
              <w:rPr>
                <w:rFonts w:ascii="Calibri" w:hAnsi="Calibri" w:cs="Calibri"/>
                <w:lang w:val="es"/>
              </w:rPr>
            </w:pPr>
            <w:r>
              <w:rPr>
                <w:rFonts w:ascii="Calibri" w:hAnsi="Calibri" w:cs="Calibri"/>
                <w:lang w:val="es"/>
              </w:rPr>
              <w:lastRenderedPageBreak/>
              <w:t>Realizar visitas periódicas a las áreas de intervención del proyecto para verificar el cumplimiento ambiental de las actividades, identificar riesgos emergentes y proponer acciones correctivas.</w:t>
            </w:r>
          </w:p>
        </w:tc>
        <w:tc>
          <w:tcPr>
            <w:tcW w:w="4758" w:type="dxa"/>
          </w:tcPr>
          <w:p w14:paraId="0B28C694" w14:textId="77777777" w:rsidR="002277AE" w:rsidRDefault="002277AE" w:rsidP="003E7952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Informes de visitas a campo. Registro fotográfico y técnico. </w:t>
            </w:r>
          </w:p>
          <w:p w14:paraId="47BDBB9F" w14:textId="77777777" w:rsidR="002277AE" w:rsidRDefault="002277AE" w:rsidP="003E7952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Matriz de hallazgos, riesgos y acciones correctivas.</w:t>
            </w:r>
          </w:p>
          <w:p w14:paraId="3F749009" w14:textId="53AC347D" w:rsidR="002277AE" w:rsidRPr="00E76B28" w:rsidRDefault="002277AE" w:rsidP="003E7952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Seguimiento al cumplimiento de recomendaciones.</w:t>
            </w:r>
          </w:p>
        </w:tc>
      </w:tr>
      <w:tr w:rsidR="00195254" w:rsidRPr="00E76B28" w14:paraId="3E0E0659" w14:textId="77777777" w:rsidTr="00195254">
        <w:tc>
          <w:tcPr>
            <w:tcW w:w="4758" w:type="dxa"/>
          </w:tcPr>
          <w:p w14:paraId="0B0CC88A" w14:textId="149A4D77" w:rsidR="00195254" w:rsidRPr="00E76B28" w:rsidRDefault="003E7952" w:rsidP="007E46E2">
            <w:pPr>
              <w:pStyle w:val="Default"/>
              <w:tabs>
                <w:tab w:val="left" w:pos="284"/>
              </w:tabs>
              <w:spacing w:after="120" w:line="276" w:lineRule="auto"/>
              <w:jc w:val="both"/>
              <w:rPr>
                <w:rFonts w:ascii="Calibri" w:hAnsi="Calibri" w:cs="Calibri"/>
                <w:lang w:val="es-MX"/>
              </w:rPr>
            </w:pPr>
            <w:r w:rsidRPr="00E76B28">
              <w:rPr>
                <w:rFonts w:ascii="Calibri" w:hAnsi="Calibri" w:cs="Calibri"/>
                <w:lang w:val="es"/>
              </w:rPr>
              <w:t>Proporcionar asistencia técnica y orientación sobre la implementación de salvaguardas</w:t>
            </w:r>
            <w:r w:rsidR="002277AE">
              <w:rPr>
                <w:rFonts w:ascii="Calibri" w:hAnsi="Calibri" w:cs="Calibri"/>
                <w:lang w:val="es"/>
              </w:rPr>
              <w:t xml:space="preserve"> incluyendo buenas prácticas ambientales, gestión de riesgos, manejo de químicos</w:t>
            </w:r>
            <w:r w:rsidRPr="00E76B28">
              <w:rPr>
                <w:rFonts w:ascii="Calibri" w:hAnsi="Calibri" w:cs="Calibri"/>
                <w:lang w:val="es"/>
              </w:rPr>
              <w:t xml:space="preserve">, </w:t>
            </w:r>
            <w:r w:rsidR="002277AE">
              <w:rPr>
                <w:rFonts w:ascii="Calibri" w:hAnsi="Calibri" w:cs="Calibri"/>
                <w:lang w:val="es"/>
              </w:rPr>
              <w:t>así como</w:t>
            </w:r>
            <w:r w:rsidR="002277AE" w:rsidRPr="00E76B28">
              <w:rPr>
                <w:rFonts w:ascii="Calibri" w:hAnsi="Calibri" w:cs="Calibri"/>
                <w:lang w:val="es"/>
              </w:rPr>
              <w:t xml:space="preserve"> </w:t>
            </w:r>
            <w:r w:rsidRPr="00E76B28">
              <w:rPr>
                <w:rFonts w:ascii="Calibri" w:hAnsi="Calibri" w:cs="Calibri"/>
                <w:lang w:val="es"/>
              </w:rPr>
              <w:t>el desarrollo y adaptación de directrices técnicas y planes de formación</w:t>
            </w:r>
          </w:p>
        </w:tc>
        <w:tc>
          <w:tcPr>
            <w:tcW w:w="4758" w:type="dxa"/>
          </w:tcPr>
          <w:p w14:paraId="047600EC" w14:textId="193DF5B0" w:rsidR="00195254" w:rsidRPr="00E76B28" w:rsidRDefault="002277AE" w:rsidP="003E7952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Notas técnicas; guías o lineamientos operativos; materiales de capacitación; recomendaciones técnicas para actividades del proyecto. </w:t>
            </w:r>
          </w:p>
        </w:tc>
      </w:tr>
      <w:tr w:rsidR="00195254" w:rsidRPr="00E76B28" w14:paraId="632E5440" w14:textId="77777777" w:rsidTr="00195254">
        <w:tc>
          <w:tcPr>
            <w:tcW w:w="4758" w:type="dxa"/>
          </w:tcPr>
          <w:p w14:paraId="3B16490B" w14:textId="4018A9E2" w:rsidR="00195254" w:rsidRPr="00E76B28" w:rsidRDefault="002277AE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Revisar documentos técnicos, estudios, diagnósticos, planes de manejo, evaluaciones ambientales u otros productos elaborados por consultores o socios, asegurando su calidad técnica y alineación con los estándares aplicables</w:t>
            </w:r>
          </w:p>
        </w:tc>
        <w:tc>
          <w:tcPr>
            <w:tcW w:w="4758" w:type="dxa"/>
          </w:tcPr>
          <w:p w14:paraId="60FCF420" w14:textId="3BF0EA06" w:rsidR="00195254" w:rsidRPr="00E76B28" w:rsidRDefault="002277AE" w:rsidP="00A923B4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Comentarios técnicos consolidados; informes revisados; matrices de control de calidad; recomendaciones para aprobación o mejora de productos.</w:t>
            </w:r>
          </w:p>
        </w:tc>
      </w:tr>
      <w:tr w:rsidR="00195254" w:rsidRPr="00E76B28" w14:paraId="03EBDFA2" w14:textId="77777777" w:rsidTr="00195254">
        <w:tc>
          <w:tcPr>
            <w:tcW w:w="4758" w:type="dxa"/>
          </w:tcPr>
          <w:p w14:paraId="7E8665E9" w14:textId="6F8E4A87" w:rsidR="00195254" w:rsidRPr="00E76B28" w:rsidRDefault="0097344A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76B28">
              <w:rPr>
                <w:rFonts w:ascii="Calibri" w:hAnsi="Calibri" w:cs="Calibri"/>
                <w:sz w:val="24"/>
                <w:szCs w:val="24"/>
              </w:rPr>
              <w:t>Coordinar</w:t>
            </w:r>
            <w:r w:rsidR="00E41743" w:rsidRPr="00E76B28">
              <w:rPr>
                <w:rFonts w:ascii="Calibri" w:hAnsi="Calibri" w:cs="Calibri"/>
                <w:sz w:val="24"/>
                <w:szCs w:val="24"/>
              </w:rPr>
              <w:t xml:space="preserve"> con las autoridades gubernamentales </w:t>
            </w:r>
            <w:r w:rsidR="002277AE">
              <w:rPr>
                <w:rFonts w:ascii="Calibri" w:hAnsi="Calibri" w:cs="Calibri"/>
                <w:sz w:val="24"/>
                <w:szCs w:val="24"/>
              </w:rPr>
              <w:t xml:space="preserve">nacionales y locales </w:t>
            </w:r>
            <w:r w:rsidR="00E41743" w:rsidRPr="00E76B28">
              <w:rPr>
                <w:rFonts w:ascii="Calibri" w:hAnsi="Calibri" w:cs="Calibri"/>
                <w:sz w:val="24"/>
                <w:szCs w:val="24"/>
              </w:rPr>
              <w:t xml:space="preserve">para garantizar el cumplimiento </w:t>
            </w:r>
            <w:r w:rsidR="002277AE">
              <w:rPr>
                <w:rFonts w:ascii="Calibri" w:hAnsi="Calibri" w:cs="Calibri"/>
                <w:sz w:val="24"/>
                <w:szCs w:val="24"/>
              </w:rPr>
              <w:t>de la normativa ambiental</w:t>
            </w:r>
            <w:r w:rsidR="00E41743" w:rsidRPr="00E76B28">
              <w:rPr>
                <w:rFonts w:ascii="Calibri" w:hAnsi="Calibri" w:cs="Calibri"/>
                <w:sz w:val="24"/>
                <w:szCs w:val="24"/>
              </w:rPr>
              <w:t xml:space="preserve"> y promover </w:t>
            </w:r>
            <w:r w:rsidR="002277AE">
              <w:rPr>
                <w:rFonts w:ascii="Calibri" w:hAnsi="Calibri" w:cs="Calibri"/>
                <w:sz w:val="24"/>
                <w:szCs w:val="24"/>
              </w:rPr>
              <w:t>la incorporación de los</w:t>
            </w:r>
            <w:r w:rsidR="002277AE" w:rsidRPr="00E76B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1743" w:rsidRPr="00E76B28">
              <w:rPr>
                <w:rFonts w:ascii="Calibri" w:hAnsi="Calibri" w:cs="Calibri"/>
                <w:sz w:val="24"/>
                <w:szCs w:val="24"/>
              </w:rPr>
              <w:t>criterios planetGOLD en las operaciones mineras</w:t>
            </w:r>
            <w:r w:rsidR="002277AE">
              <w:rPr>
                <w:rFonts w:ascii="Calibri" w:hAnsi="Calibri" w:cs="Calibri"/>
                <w:sz w:val="24"/>
                <w:szCs w:val="24"/>
              </w:rPr>
              <w:t xml:space="preserve"> beneficiarias</w:t>
            </w:r>
          </w:p>
        </w:tc>
        <w:tc>
          <w:tcPr>
            <w:tcW w:w="4758" w:type="dxa"/>
          </w:tcPr>
          <w:p w14:paraId="05009F4C" w14:textId="40CDFEAD" w:rsidR="00195254" w:rsidRPr="00E76B28" w:rsidRDefault="00E41743" w:rsidP="00E41743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76B28">
              <w:rPr>
                <w:rFonts w:ascii="Calibri" w:hAnsi="Calibri" w:cs="Calibri"/>
                <w:sz w:val="24"/>
                <w:szCs w:val="24"/>
              </w:rPr>
              <w:t xml:space="preserve">Acta de reuniones; </w:t>
            </w:r>
            <w:r w:rsidR="002277AE">
              <w:rPr>
                <w:rFonts w:ascii="Calibri" w:hAnsi="Calibri" w:cs="Calibri"/>
                <w:sz w:val="24"/>
                <w:szCs w:val="24"/>
              </w:rPr>
              <w:t>comunicaciones oficiales</w:t>
            </w:r>
            <w:r w:rsidRPr="00E76B28">
              <w:rPr>
                <w:rFonts w:ascii="Calibri" w:hAnsi="Calibri" w:cs="Calibri"/>
                <w:sz w:val="24"/>
                <w:szCs w:val="24"/>
              </w:rPr>
              <w:t xml:space="preserve">; Notas técnicas </w:t>
            </w:r>
            <w:r w:rsidR="002277AE">
              <w:rPr>
                <w:rFonts w:ascii="Calibri" w:hAnsi="Calibri" w:cs="Calibri"/>
                <w:sz w:val="24"/>
                <w:szCs w:val="24"/>
              </w:rPr>
              <w:t xml:space="preserve">de coordinación institucional; informes </w:t>
            </w:r>
            <w:r w:rsidRPr="00E76B28">
              <w:rPr>
                <w:rFonts w:ascii="Calibri" w:hAnsi="Calibri" w:cs="Calibri"/>
                <w:sz w:val="24"/>
                <w:szCs w:val="24"/>
              </w:rPr>
              <w:t>que integran los estándares planetGOLD</w:t>
            </w:r>
          </w:p>
        </w:tc>
      </w:tr>
      <w:tr w:rsidR="00195254" w:rsidRPr="00E76B28" w14:paraId="2B492EAA" w14:textId="77777777" w:rsidTr="00195254">
        <w:tc>
          <w:tcPr>
            <w:tcW w:w="4758" w:type="dxa"/>
          </w:tcPr>
          <w:p w14:paraId="571208FD" w14:textId="300C22D2" w:rsidR="00195254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Diseñar, actualizar e implementar el sistema de Monitoreo, Evaluación y Aprendizaje del proyecto, en coordinación con la coordinación del proyecto y conforme a los requerimientos del GEF, PNUMA y planetGOLD</w:t>
            </w:r>
          </w:p>
        </w:tc>
        <w:tc>
          <w:tcPr>
            <w:tcW w:w="4758" w:type="dxa"/>
          </w:tcPr>
          <w:p w14:paraId="6977B353" w14:textId="3D1F81DF" w:rsidR="00195254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Plan de Monitoreo, Evaluación y Aprendizaje actualizado.</w:t>
            </w:r>
          </w:p>
          <w:p w14:paraId="6C1ABED6" w14:textId="1043C59D" w:rsidR="009B353D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Herramientas de recolección de datos. </w:t>
            </w:r>
          </w:p>
          <w:p w14:paraId="69EFB03E" w14:textId="55865E61" w:rsidR="009B353D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Calendario de monitoreo.  </w:t>
            </w:r>
          </w:p>
        </w:tc>
      </w:tr>
      <w:tr w:rsidR="009B353D" w:rsidRPr="00E76B28" w14:paraId="27A4290C" w14:textId="77777777" w:rsidTr="00195254">
        <w:tc>
          <w:tcPr>
            <w:tcW w:w="4758" w:type="dxa"/>
          </w:tcPr>
          <w:p w14:paraId="69113E94" w14:textId="2B8B704F" w:rsidR="009B353D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t xml:space="preserve">Recolectar, sistematizar y analizar información técnica, ambiental, social y de resultados para </w:t>
            </w:r>
            <w:r w:rsidRPr="009B353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apoyar la preparación de informes periódicos, incluyendo informes anuales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y trimestrales </w:t>
            </w:r>
            <w:r w:rsidRPr="009B353D">
              <w:rPr>
                <w:rFonts w:ascii="Calibri" w:hAnsi="Calibri" w:cs="Calibri"/>
                <w:sz w:val="24"/>
                <w:szCs w:val="24"/>
              </w:rPr>
              <w:t>de progreso, y otros reportes requeridos por el donante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 w:rsidRPr="009B353D">
              <w:rPr>
                <w:rFonts w:ascii="Calibri" w:hAnsi="Calibri" w:cs="Calibri"/>
                <w:sz w:val="24"/>
                <w:szCs w:val="24"/>
              </w:rPr>
              <w:t xml:space="preserve"> PNUMA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y programa planetGOLD</w:t>
            </w:r>
            <w:r w:rsidRPr="009B35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58" w:type="dxa"/>
          </w:tcPr>
          <w:p w14:paraId="130ABAE9" w14:textId="77777777" w:rsidR="009B353D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lastRenderedPageBreak/>
              <w:t>Insumos técnicos para informes anuales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y trimestrales</w:t>
            </w:r>
            <w:r w:rsidRPr="009B353D">
              <w:rPr>
                <w:rFonts w:ascii="Calibri" w:hAnsi="Calibri" w:cs="Calibri"/>
                <w:sz w:val="24"/>
                <w:szCs w:val="24"/>
              </w:rPr>
              <w:t xml:space="preserve"> de progreso. </w:t>
            </w:r>
          </w:p>
          <w:p w14:paraId="03CBD1EF" w14:textId="247AB8A8" w:rsidR="009B353D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Reportes de avance de indicadores. </w:t>
            </w:r>
          </w:p>
          <w:p w14:paraId="559A9DCA" w14:textId="71EF48E1" w:rsidR="009B353D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t>Análisis de cumplimiento de metas. Evidencias de resultados consolidadas.</w:t>
            </w:r>
          </w:p>
        </w:tc>
      </w:tr>
      <w:tr w:rsidR="00A00EFC" w:rsidRPr="00E76B28" w14:paraId="35A60818" w14:textId="77777777" w:rsidTr="00195254">
        <w:tc>
          <w:tcPr>
            <w:tcW w:w="4758" w:type="dxa"/>
          </w:tcPr>
          <w:p w14:paraId="5558E369" w14:textId="7CC61748" w:rsidR="00A00EFC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lastRenderedPageBreak/>
              <w:t>Asegurar que la recolección y análisis de datos incorpore variables de género, edad, pertenencia comunitaria, vulnerabilidad y otros criterios relevantes para visibilizar los impactos diferenciados del proyecto.</w:t>
            </w:r>
          </w:p>
        </w:tc>
        <w:tc>
          <w:tcPr>
            <w:tcW w:w="4758" w:type="dxa"/>
          </w:tcPr>
          <w:p w14:paraId="4E1924CF" w14:textId="56782C1A" w:rsidR="00A00EFC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t>Base de datos desagregada por sexo y otros criterios pertinentes.</w:t>
            </w:r>
          </w:p>
        </w:tc>
      </w:tr>
      <w:tr w:rsidR="00A00EFC" w:rsidRPr="00E76B28" w14:paraId="394C8DF8" w14:textId="77777777" w:rsidTr="00195254">
        <w:tc>
          <w:tcPr>
            <w:tcW w:w="4758" w:type="dxa"/>
          </w:tcPr>
          <w:p w14:paraId="0D2ADB18" w14:textId="5B40C087" w:rsidR="00A00EFC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t>Apoyar la preparación de insumos técnicos para evaluaciones internas, revisiones de medio término, evaluaciones finales, misiones de supervisión y auditorías técnicas relacionadas con el proyecto.</w:t>
            </w:r>
          </w:p>
        </w:tc>
        <w:tc>
          <w:tcPr>
            <w:tcW w:w="4758" w:type="dxa"/>
          </w:tcPr>
          <w:p w14:paraId="4023D26E" w14:textId="5E26E823" w:rsidR="00A00EFC" w:rsidRPr="00E76B28" w:rsidRDefault="009B353D" w:rsidP="00747741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9B353D">
              <w:rPr>
                <w:rFonts w:ascii="Calibri" w:hAnsi="Calibri" w:cs="Calibri"/>
                <w:sz w:val="24"/>
                <w:szCs w:val="24"/>
              </w:rPr>
              <w:t>Carpetas de evidencias. Informes técnicos de apoyo. Matrices de seguimiento a recomendaciones de evaluaciones o misiones.</w:t>
            </w:r>
          </w:p>
        </w:tc>
      </w:tr>
      <w:tr w:rsidR="00594F1E" w:rsidRPr="00E76B28" w14:paraId="6D32EF32" w14:textId="77777777" w:rsidTr="00195254">
        <w:tc>
          <w:tcPr>
            <w:tcW w:w="4758" w:type="dxa"/>
          </w:tcPr>
          <w:p w14:paraId="20050D9D" w14:textId="3823291A" w:rsidR="00594F1E" w:rsidRPr="00E76B28" w:rsidRDefault="00594F1E" w:rsidP="009D262F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76B28">
              <w:rPr>
                <w:rFonts w:ascii="Calibri" w:hAnsi="Calibri" w:cs="Calibri"/>
                <w:sz w:val="24"/>
                <w:szCs w:val="24"/>
                <w:lang w:val="es-ES"/>
              </w:rPr>
              <w:t xml:space="preserve">Cualquier otra tarea </w:t>
            </w:r>
            <w:r w:rsidR="009D262F" w:rsidRPr="00E76B28">
              <w:rPr>
                <w:rFonts w:ascii="Calibri" w:hAnsi="Calibri" w:cs="Calibri"/>
                <w:sz w:val="24"/>
                <w:szCs w:val="24"/>
                <w:lang w:val="es-ES"/>
              </w:rPr>
              <w:t>requerida</w:t>
            </w:r>
            <w:r w:rsidRPr="00E76B28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por la coordinación del proyecto</w:t>
            </w:r>
            <w:r w:rsidR="009D262F" w:rsidRPr="00E76B28">
              <w:rPr>
                <w:rFonts w:ascii="Calibri" w:hAnsi="Calibri" w:cs="Calibri"/>
                <w:sz w:val="24"/>
                <w:szCs w:val="24"/>
                <w:lang w:val="es-ES"/>
              </w:rPr>
              <w:t>, en el marco de los objetivos del proyecto.</w:t>
            </w:r>
          </w:p>
        </w:tc>
        <w:tc>
          <w:tcPr>
            <w:tcW w:w="4758" w:type="dxa"/>
          </w:tcPr>
          <w:p w14:paraId="7CE80C75" w14:textId="77777777" w:rsidR="00594F1E" w:rsidRPr="00E76B28" w:rsidRDefault="00594F1E" w:rsidP="00594F1E">
            <w:pPr>
              <w:spacing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44B04CB6" w14:textId="4E075150" w:rsidR="00E76B28" w:rsidRPr="00E76B28" w:rsidRDefault="00E76B28" w:rsidP="00E76B28">
      <w:pPr>
        <w:spacing w:before="120" w:after="12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76B28">
        <w:rPr>
          <w:rFonts w:ascii="Calibri" w:hAnsi="Calibri" w:cs="Calibri"/>
          <w:b/>
          <w:bCs/>
          <w:sz w:val="24"/>
          <w:szCs w:val="24"/>
          <w:u w:val="single"/>
        </w:rPr>
        <w:t>Modalidad de contratación y remuneración</w:t>
      </w:r>
    </w:p>
    <w:p w14:paraId="32D59D88" w14:textId="61227820" w:rsidR="009865F7" w:rsidRDefault="00E76B28" w:rsidP="0011156C">
      <w:pPr>
        <w:spacing w:after="120" w:line="276" w:lineRule="auto"/>
        <w:jc w:val="both"/>
        <w:rPr>
          <w:rFonts w:ascii="Calibri" w:eastAsia="Arial" w:hAnsi="Calibri" w:cs="Calibri"/>
          <w:b/>
          <w:color w:val="000000"/>
          <w:sz w:val="24"/>
          <w:szCs w:val="24"/>
          <w:u w:val="single"/>
        </w:rPr>
      </w:pPr>
      <w:r w:rsidRPr="00E76B28">
        <w:rPr>
          <w:rFonts w:ascii="Calibri" w:hAnsi="Calibri" w:cs="Calibri"/>
          <w:sz w:val="24"/>
          <w:szCs w:val="24"/>
          <w:lang w:val="es-ES"/>
        </w:rPr>
        <w:t xml:space="preserve">Inicialmente se contemplará un </w:t>
      </w:r>
      <w:r w:rsidRPr="00E76B28">
        <w:rPr>
          <w:rFonts w:ascii="Calibri" w:hAnsi="Calibri" w:cs="Calibri"/>
          <w:b/>
          <w:bCs/>
          <w:sz w:val="24"/>
          <w:szCs w:val="24"/>
          <w:lang w:val="es-ES"/>
        </w:rPr>
        <w:t>período de prueba de tres (3) meses</w:t>
      </w:r>
      <w:r w:rsidRPr="00E76B28">
        <w:rPr>
          <w:rFonts w:ascii="Calibri" w:hAnsi="Calibri" w:cs="Calibri"/>
          <w:sz w:val="24"/>
          <w:szCs w:val="24"/>
          <w:lang w:val="es-ES"/>
        </w:rPr>
        <w:t>, sujeto a evaluación de desempeño. En función de los resultados obtenidos el contrato podrá ser ampliado conforme a los procedimientos establecidos.</w:t>
      </w:r>
    </w:p>
    <w:p w14:paraId="580B3E2E" w14:textId="28432455" w:rsidR="001E0812" w:rsidRPr="00E76B28" w:rsidRDefault="001E0812" w:rsidP="001E081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Arial" w:hAnsi="Calibri" w:cs="Calibri"/>
          <w:b/>
          <w:color w:val="000000"/>
          <w:sz w:val="24"/>
          <w:szCs w:val="24"/>
          <w:u w:val="single"/>
        </w:rPr>
      </w:pPr>
      <w:r w:rsidRPr="00E76B28">
        <w:rPr>
          <w:rFonts w:ascii="Calibri" w:eastAsia="Arial" w:hAnsi="Calibri" w:cs="Calibri"/>
          <w:b/>
          <w:color w:val="000000"/>
          <w:sz w:val="24"/>
          <w:szCs w:val="24"/>
          <w:u w:val="single"/>
        </w:rPr>
        <w:t>Perfil Requerido</w:t>
      </w:r>
    </w:p>
    <w:p w14:paraId="0EB05F7D" w14:textId="77777777" w:rsidR="00CB1876" w:rsidRPr="00E76B28" w:rsidRDefault="0081611F" w:rsidP="00CC64E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  <w:u w:val="single"/>
        </w:rPr>
        <w:t>Formación</w:t>
      </w:r>
      <w:r w:rsidR="00BE30B7" w:rsidRPr="00E76B28">
        <w:rPr>
          <w:rFonts w:ascii="Calibri" w:hAnsi="Calibri" w:cs="Calibri"/>
          <w:sz w:val="24"/>
          <w:szCs w:val="24"/>
          <w:u w:val="single"/>
        </w:rPr>
        <w:t>:</w:t>
      </w:r>
      <w:r w:rsidR="00BE30B7" w:rsidRPr="00E76B28">
        <w:rPr>
          <w:rFonts w:ascii="Calibri" w:hAnsi="Calibri" w:cs="Calibri"/>
          <w:sz w:val="24"/>
          <w:szCs w:val="24"/>
        </w:rPr>
        <w:t xml:space="preserve"> </w:t>
      </w:r>
    </w:p>
    <w:p w14:paraId="2AA27269" w14:textId="7E5D9747" w:rsidR="009B353D" w:rsidRPr="00E76B28" w:rsidRDefault="009B353D" w:rsidP="000E5C2C">
      <w:pPr>
        <w:pStyle w:val="Prrafodelista"/>
        <w:numPr>
          <w:ilvl w:val="0"/>
          <w:numId w:val="14"/>
        </w:numPr>
        <w:spacing w:after="120"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9B353D">
        <w:rPr>
          <w:rFonts w:ascii="Calibri" w:hAnsi="Calibri" w:cs="Calibri"/>
          <w:sz w:val="24"/>
          <w:szCs w:val="24"/>
        </w:rPr>
        <w:t>Título universitario en Ciencias Ambientales, Ingeniería Ambiental, Ciencias Agrarias, Ciencias Naturales, Geología, Gestión de Recursos Naturales, Biología, Ecología o disciplinas afines.</w:t>
      </w:r>
    </w:p>
    <w:p w14:paraId="27DDF8A5" w14:textId="4E0B66D5" w:rsidR="009B353D" w:rsidRPr="009B353D" w:rsidRDefault="009B353D" w:rsidP="009B353D">
      <w:pPr>
        <w:pStyle w:val="Prrafodelista"/>
        <w:numPr>
          <w:ilvl w:val="0"/>
          <w:numId w:val="14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9B353D">
        <w:rPr>
          <w:rFonts w:ascii="Calibri" w:hAnsi="Calibri" w:cs="Calibri"/>
          <w:sz w:val="24"/>
          <w:szCs w:val="24"/>
        </w:rPr>
        <w:t>Se valorará positivamente contar con estudios de posgrado, especialización, diplomado, maestría o formación complementaria en gestión ambiental, evaluación ambiental, gestión de recursos naturales, monitoreo y evaluación, gestión de proyectos, desarrollo sostenible o áreas relacionadas.</w:t>
      </w:r>
    </w:p>
    <w:p w14:paraId="73A438D2" w14:textId="690483C5" w:rsidR="00BE30B7" w:rsidRPr="0011156C" w:rsidRDefault="00BE30B7" w:rsidP="0011156C">
      <w:pPr>
        <w:rPr>
          <w:rFonts w:ascii="Calibri" w:hAnsi="Calibri" w:cs="Calibri"/>
          <w:sz w:val="24"/>
          <w:szCs w:val="24"/>
        </w:rPr>
      </w:pPr>
      <w:r w:rsidRPr="0011156C">
        <w:rPr>
          <w:rFonts w:ascii="Calibri" w:hAnsi="Calibri" w:cs="Calibri"/>
          <w:sz w:val="24"/>
          <w:szCs w:val="24"/>
          <w:u w:val="single"/>
        </w:rPr>
        <w:t>Experiencia técnica y funcional</w:t>
      </w:r>
      <w:r w:rsidRPr="0011156C">
        <w:rPr>
          <w:rFonts w:ascii="Calibri" w:hAnsi="Calibri" w:cs="Calibri"/>
          <w:sz w:val="24"/>
          <w:szCs w:val="24"/>
        </w:rPr>
        <w:t>:</w:t>
      </w:r>
    </w:p>
    <w:p w14:paraId="438919DE" w14:textId="34E188DA" w:rsidR="00BE3AFF" w:rsidRPr="00E76B28" w:rsidRDefault="00BE3AFF" w:rsidP="009E6F48">
      <w:pPr>
        <w:pStyle w:val="Prrafodelista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Experienci</w:t>
      </w:r>
      <w:r w:rsidR="00451ED2" w:rsidRPr="00E76B28">
        <w:rPr>
          <w:rFonts w:ascii="Calibri" w:hAnsi="Calibri" w:cs="Calibri"/>
          <w:sz w:val="24"/>
          <w:szCs w:val="24"/>
        </w:rPr>
        <w:t xml:space="preserve">a profesional general de al menos </w:t>
      </w:r>
      <w:r w:rsidR="00F57299">
        <w:rPr>
          <w:rFonts w:ascii="Calibri" w:hAnsi="Calibri" w:cs="Calibri"/>
          <w:sz w:val="24"/>
          <w:szCs w:val="24"/>
        </w:rPr>
        <w:t>7</w:t>
      </w:r>
      <w:r w:rsidR="00451ED2" w:rsidRPr="00E76B28">
        <w:rPr>
          <w:rFonts w:ascii="Calibri" w:hAnsi="Calibri" w:cs="Calibri"/>
          <w:sz w:val="24"/>
          <w:szCs w:val="24"/>
        </w:rPr>
        <w:t xml:space="preserve"> años</w:t>
      </w:r>
      <w:r w:rsidR="006D40C7" w:rsidRPr="00E76B28">
        <w:rPr>
          <w:rFonts w:ascii="Calibri" w:hAnsi="Calibri" w:cs="Calibri"/>
          <w:sz w:val="24"/>
          <w:szCs w:val="24"/>
        </w:rPr>
        <w:t xml:space="preserve"> en el campo de la gestión</w:t>
      </w:r>
      <w:r w:rsidR="009B353D">
        <w:rPr>
          <w:rFonts w:ascii="Calibri" w:hAnsi="Calibri" w:cs="Calibri"/>
          <w:sz w:val="24"/>
          <w:szCs w:val="24"/>
        </w:rPr>
        <w:t xml:space="preserve"> ambiental, evaluación ambiental o áreas relacionadas</w:t>
      </w:r>
      <w:r w:rsidR="006D40C7" w:rsidRPr="00E76B28">
        <w:rPr>
          <w:rFonts w:ascii="Calibri" w:hAnsi="Calibri" w:cs="Calibri"/>
          <w:sz w:val="24"/>
          <w:szCs w:val="24"/>
        </w:rPr>
        <w:t>.</w:t>
      </w:r>
    </w:p>
    <w:p w14:paraId="222FAB2E" w14:textId="7F32B203" w:rsidR="00FF4634" w:rsidRDefault="00FF4634" w:rsidP="009E6F48">
      <w:pPr>
        <w:pStyle w:val="Prrafodelista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Se requ</w:t>
      </w:r>
      <w:r w:rsidR="00493B1E" w:rsidRPr="00E76B28">
        <w:rPr>
          <w:rFonts w:ascii="Calibri" w:hAnsi="Calibri" w:cs="Calibri"/>
          <w:sz w:val="24"/>
          <w:szCs w:val="24"/>
        </w:rPr>
        <w:t>iere</w:t>
      </w:r>
      <w:r w:rsidRPr="00E76B28">
        <w:rPr>
          <w:rFonts w:ascii="Calibri" w:hAnsi="Calibri" w:cs="Calibri"/>
          <w:sz w:val="24"/>
          <w:szCs w:val="24"/>
        </w:rPr>
        <w:t xml:space="preserve"> de al menos 5 años de experiencia profesional en </w:t>
      </w:r>
      <w:r w:rsidR="009B353D">
        <w:rPr>
          <w:rFonts w:ascii="Calibri" w:hAnsi="Calibri" w:cs="Calibri"/>
          <w:sz w:val="24"/>
          <w:szCs w:val="24"/>
        </w:rPr>
        <w:t>diseño, implementación o seguimiento de sistemas de monitoreo, evaluación, aprendizaje, gestión por resultados o planificación de proyecto.</w:t>
      </w:r>
    </w:p>
    <w:p w14:paraId="7F235DFA" w14:textId="32371E7D" w:rsidR="009B353D" w:rsidRDefault="009B353D" w:rsidP="009E6F48">
      <w:pPr>
        <w:pStyle w:val="Prrafodelista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B353D">
        <w:rPr>
          <w:rFonts w:ascii="Calibri" w:hAnsi="Calibri" w:cs="Calibri"/>
          <w:sz w:val="24"/>
          <w:szCs w:val="24"/>
        </w:rPr>
        <w:lastRenderedPageBreak/>
        <w:t>Experiencia demostrable en la implementación, supervisión o actualización de planes de gestión ambiental, medidas de mitigación, planes de acción correctiva o instrumentos equivalentes.</w:t>
      </w:r>
    </w:p>
    <w:p w14:paraId="22810303" w14:textId="7C0240BF" w:rsidR="009B353D" w:rsidRPr="00E76B28" w:rsidRDefault="009B353D" w:rsidP="009E6F48">
      <w:pPr>
        <w:pStyle w:val="Prrafodelista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B353D">
        <w:rPr>
          <w:rFonts w:ascii="Calibri" w:hAnsi="Calibri" w:cs="Calibri"/>
          <w:sz w:val="24"/>
          <w:szCs w:val="24"/>
        </w:rPr>
        <w:t>Experiencia en evaluación de impacto ambiental, análisis de riesgos ambientales, seguimiento de medidas de manejo ambiental o cumplimiento normativo.</w:t>
      </w:r>
    </w:p>
    <w:p w14:paraId="74381D28" w14:textId="611634A1" w:rsidR="00681BFA" w:rsidRPr="00E76B28" w:rsidRDefault="00681BFA" w:rsidP="009E6F48">
      <w:pPr>
        <w:pStyle w:val="TableParagraph"/>
        <w:numPr>
          <w:ilvl w:val="0"/>
          <w:numId w:val="1"/>
        </w:numPr>
        <w:tabs>
          <w:tab w:val="left" w:pos="826"/>
        </w:tabs>
        <w:spacing w:line="276" w:lineRule="auto"/>
        <w:ind w:right="178"/>
        <w:jc w:val="both"/>
        <w:rPr>
          <w:sz w:val="24"/>
          <w:szCs w:val="24"/>
        </w:rPr>
      </w:pPr>
      <w:r w:rsidRPr="00E76B28">
        <w:rPr>
          <w:sz w:val="24"/>
          <w:szCs w:val="24"/>
        </w:rPr>
        <w:t>Se</w:t>
      </w:r>
      <w:r w:rsidRPr="00E76B28">
        <w:rPr>
          <w:spacing w:val="-5"/>
          <w:sz w:val="24"/>
          <w:szCs w:val="24"/>
        </w:rPr>
        <w:t xml:space="preserve"> </w:t>
      </w:r>
      <w:r w:rsidRPr="00E76B28">
        <w:rPr>
          <w:sz w:val="24"/>
          <w:szCs w:val="24"/>
        </w:rPr>
        <w:t>requiere</w:t>
      </w:r>
      <w:r w:rsidRPr="00E76B28">
        <w:rPr>
          <w:spacing w:val="-5"/>
          <w:sz w:val="24"/>
          <w:szCs w:val="24"/>
        </w:rPr>
        <w:t xml:space="preserve"> </w:t>
      </w:r>
      <w:r w:rsidRPr="00E76B28">
        <w:rPr>
          <w:sz w:val="24"/>
          <w:szCs w:val="24"/>
        </w:rPr>
        <w:t>experiencia</w:t>
      </w:r>
      <w:r w:rsidRPr="00E76B28">
        <w:rPr>
          <w:spacing w:val="-6"/>
          <w:sz w:val="24"/>
          <w:szCs w:val="24"/>
        </w:rPr>
        <w:t xml:space="preserve"> </w:t>
      </w:r>
      <w:r w:rsidRPr="00E76B28">
        <w:rPr>
          <w:sz w:val="24"/>
          <w:szCs w:val="24"/>
        </w:rPr>
        <w:t>verificable</w:t>
      </w:r>
      <w:r w:rsidRPr="00E76B28">
        <w:rPr>
          <w:spacing w:val="-5"/>
          <w:sz w:val="24"/>
          <w:szCs w:val="24"/>
        </w:rPr>
        <w:t xml:space="preserve"> </w:t>
      </w:r>
      <w:r w:rsidR="009B353D">
        <w:rPr>
          <w:sz w:val="24"/>
          <w:szCs w:val="24"/>
        </w:rPr>
        <w:t>de trabajo</w:t>
      </w:r>
      <w:r w:rsidR="009B353D" w:rsidRPr="00E76B28">
        <w:rPr>
          <w:spacing w:val="-7"/>
          <w:sz w:val="24"/>
          <w:szCs w:val="24"/>
        </w:rPr>
        <w:t xml:space="preserve"> </w:t>
      </w:r>
      <w:r w:rsidRPr="00E76B28">
        <w:rPr>
          <w:sz w:val="24"/>
          <w:szCs w:val="24"/>
        </w:rPr>
        <w:t>con</w:t>
      </w:r>
      <w:r w:rsidRPr="00E76B28">
        <w:rPr>
          <w:spacing w:val="-6"/>
          <w:sz w:val="24"/>
          <w:szCs w:val="24"/>
        </w:rPr>
        <w:t xml:space="preserve"> </w:t>
      </w:r>
      <w:r w:rsidRPr="00E76B28">
        <w:rPr>
          <w:sz w:val="24"/>
          <w:szCs w:val="24"/>
        </w:rPr>
        <w:t>comunidades</w:t>
      </w:r>
      <w:r w:rsidRPr="00E76B28">
        <w:rPr>
          <w:spacing w:val="-7"/>
          <w:sz w:val="24"/>
          <w:szCs w:val="24"/>
        </w:rPr>
        <w:t xml:space="preserve"> </w:t>
      </w:r>
      <w:r w:rsidRPr="00E76B28">
        <w:rPr>
          <w:sz w:val="24"/>
          <w:szCs w:val="24"/>
        </w:rPr>
        <w:t>rurales</w:t>
      </w:r>
      <w:r w:rsidR="009B353D">
        <w:rPr>
          <w:sz w:val="24"/>
          <w:szCs w:val="24"/>
        </w:rPr>
        <w:t>, organizaciones locales, asociaciones productivas o actores territoriales</w:t>
      </w:r>
      <w:r w:rsidRPr="00E76B28">
        <w:rPr>
          <w:sz w:val="24"/>
          <w:szCs w:val="24"/>
        </w:rPr>
        <w:t>.</w:t>
      </w:r>
    </w:p>
    <w:p w14:paraId="27C36B0A" w14:textId="4257DC4C" w:rsidR="00681BFA" w:rsidRPr="00E76B28" w:rsidRDefault="00681BFA" w:rsidP="009E6F48">
      <w:pPr>
        <w:pStyle w:val="TableParagraph"/>
        <w:numPr>
          <w:ilvl w:val="0"/>
          <w:numId w:val="1"/>
        </w:numPr>
        <w:tabs>
          <w:tab w:val="left" w:pos="826"/>
        </w:tabs>
        <w:spacing w:line="276" w:lineRule="auto"/>
        <w:ind w:right="213"/>
        <w:jc w:val="both"/>
        <w:rPr>
          <w:sz w:val="24"/>
          <w:szCs w:val="24"/>
        </w:rPr>
      </w:pPr>
      <w:r w:rsidRPr="00E76B28">
        <w:rPr>
          <w:sz w:val="24"/>
          <w:szCs w:val="24"/>
        </w:rPr>
        <w:t>Se requiere experiencia demostrada en la aplicación de metodologías participativas</w:t>
      </w:r>
      <w:r w:rsidR="009B353D">
        <w:rPr>
          <w:sz w:val="24"/>
          <w:szCs w:val="24"/>
        </w:rPr>
        <w:t>, consultas comunitarias, talleres o procesos de diálogo multiactor.</w:t>
      </w:r>
    </w:p>
    <w:p w14:paraId="5F7B7F5C" w14:textId="35BA2CDD" w:rsidR="00681BFA" w:rsidRPr="00E76B28" w:rsidRDefault="00681BFA" w:rsidP="009E6F48">
      <w:pPr>
        <w:pStyle w:val="TableParagraph"/>
        <w:numPr>
          <w:ilvl w:val="0"/>
          <w:numId w:val="1"/>
        </w:numPr>
        <w:tabs>
          <w:tab w:val="left" w:pos="826"/>
        </w:tabs>
        <w:spacing w:line="276" w:lineRule="auto"/>
        <w:ind w:right="218"/>
        <w:jc w:val="both"/>
        <w:rPr>
          <w:sz w:val="24"/>
          <w:szCs w:val="24"/>
        </w:rPr>
      </w:pPr>
      <w:r w:rsidRPr="00E76B28">
        <w:rPr>
          <w:sz w:val="24"/>
          <w:szCs w:val="24"/>
        </w:rPr>
        <w:t>Se requiere un sólido conocimiento de la mitigación y monitorización ambiental,</w:t>
      </w:r>
      <w:r w:rsidRPr="00E76B28">
        <w:rPr>
          <w:spacing w:val="-4"/>
          <w:sz w:val="24"/>
          <w:szCs w:val="24"/>
        </w:rPr>
        <w:t xml:space="preserve"> </w:t>
      </w:r>
      <w:r w:rsidRPr="00E76B28">
        <w:rPr>
          <w:sz w:val="24"/>
          <w:szCs w:val="24"/>
        </w:rPr>
        <w:t>así</w:t>
      </w:r>
      <w:r w:rsidRPr="00E76B28">
        <w:rPr>
          <w:spacing w:val="-4"/>
          <w:sz w:val="24"/>
          <w:szCs w:val="24"/>
        </w:rPr>
        <w:t xml:space="preserve"> </w:t>
      </w:r>
      <w:r w:rsidRPr="00E76B28">
        <w:rPr>
          <w:sz w:val="24"/>
          <w:szCs w:val="24"/>
        </w:rPr>
        <w:t>como</w:t>
      </w:r>
      <w:r w:rsidRPr="00E76B28">
        <w:rPr>
          <w:spacing w:val="-5"/>
          <w:sz w:val="24"/>
          <w:szCs w:val="24"/>
        </w:rPr>
        <w:t xml:space="preserve"> </w:t>
      </w:r>
      <w:r w:rsidRPr="00E76B28">
        <w:rPr>
          <w:sz w:val="24"/>
          <w:szCs w:val="24"/>
        </w:rPr>
        <w:t>medidas</w:t>
      </w:r>
      <w:r w:rsidRPr="00E76B28">
        <w:rPr>
          <w:spacing w:val="-1"/>
          <w:sz w:val="24"/>
          <w:szCs w:val="24"/>
        </w:rPr>
        <w:t xml:space="preserve"> </w:t>
      </w:r>
      <w:r w:rsidRPr="00E76B28">
        <w:rPr>
          <w:sz w:val="24"/>
          <w:szCs w:val="24"/>
        </w:rPr>
        <w:t>de</w:t>
      </w:r>
      <w:r w:rsidRPr="00E76B28">
        <w:rPr>
          <w:spacing w:val="-4"/>
          <w:sz w:val="24"/>
          <w:szCs w:val="24"/>
        </w:rPr>
        <w:t xml:space="preserve"> </w:t>
      </w:r>
      <w:r w:rsidRPr="00E76B28">
        <w:rPr>
          <w:sz w:val="24"/>
          <w:szCs w:val="24"/>
        </w:rPr>
        <w:t>salvaguardia</w:t>
      </w:r>
      <w:r w:rsidRPr="00E76B28">
        <w:rPr>
          <w:spacing w:val="-5"/>
          <w:sz w:val="24"/>
          <w:szCs w:val="24"/>
        </w:rPr>
        <w:t xml:space="preserve"> </w:t>
      </w:r>
      <w:r w:rsidRPr="00E76B28">
        <w:rPr>
          <w:sz w:val="24"/>
          <w:szCs w:val="24"/>
        </w:rPr>
        <w:t>dentro</w:t>
      </w:r>
      <w:r w:rsidRPr="00E76B28">
        <w:rPr>
          <w:spacing w:val="-5"/>
          <w:sz w:val="24"/>
          <w:szCs w:val="24"/>
        </w:rPr>
        <w:t xml:space="preserve"> </w:t>
      </w:r>
      <w:r w:rsidRPr="00E76B28">
        <w:rPr>
          <w:sz w:val="24"/>
          <w:szCs w:val="24"/>
        </w:rPr>
        <w:t>de</w:t>
      </w:r>
      <w:r w:rsidRPr="00E76B28">
        <w:rPr>
          <w:spacing w:val="-4"/>
          <w:sz w:val="24"/>
          <w:szCs w:val="24"/>
        </w:rPr>
        <w:t xml:space="preserve"> </w:t>
      </w:r>
      <w:r w:rsidRPr="00E76B28">
        <w:rPr>
          <w:sz w:val="24"/>
          <w:szCs w:val="24"/>
        </w:rPr>
        <w:t>los</w:t>
      </w:r>
      <w:r w:rsidRPr="00E76B28">
        <w:rPr>
          <w:spacing w:val="-6"/>
          <w:sz w:val="24"/>
          <w:szCs w:val="24"/>
        </w:rPr>
        <w:t xml:space="preserve"> </w:t>
      </w:r>
      <w:r w:rsidRPr="00E76B28">
        <w:rPr>
          <w:sz w:val="24"/>
          <w:szCs w:val="24"/>
        </w:rPr>
        <w:t xml:space="preserve">marcos </w:t>
      </w:r>
      <w:r w:rsidR="009B353D">
        <w:rPr>
          <w:sz w:val="24"/>
          <w:szCs w:val="24"/>
        </w:rPr>
        <w:t>de</w:t>
      </w:r>
      <w:r w:rsidRPr="00E76B28">
        <w:rPr>
          <w:sz w:val="24"/>
          <w:szCs w:val="24"/>
        </w:rPr>
        <w:t xml:space="preserve"> proyectos</w:t>
      </w:r>
      <w:r w:rsidR="009B353D">
        <w:rPr>
          <w:sz w:val="24"/>
          <w:szCs w:val="24"/>
        </w:rPr>
        <w:t xml:space="preserve"> de desarrollo</w:t>
      </w:r>
      <w:r w:rsidRPr="00E76B28">
        <w:rPr>
          <w:sz w:val="24"/>
          <w:szCs w:val="24"/>
        </w:rPr>
        <w:t>.</w:t>
      </w:r>
    </w:p>
    <w:p w14:paraId="26D68622" w14:textId="222A49BB" w:rsidR="009B353D" w:rsidRPr="00E76B28" w:rsidRDefault="009B353D" w:rsidP="009E6F48">
      <w:pPr>
        <w:pStyle w:val="TableParagraph"/>
        <w:numPr>
          <w:ilvl w:val="0"/>
          <w:numId w:val="1"/>
        </w:numPr>
        <w:tabs>
          <w:tab w:val="left" w:pos="826"/>
        </w:tabs>
        <w:spacing w:line="276" w:lineRule="auto"/>
        <w:ind w:right="182"/>
        <w:jc w:val="both"/>
        <w:rPr>
          <w:sz w:val="24"/>
          <w:szCs w:val="24"/>
        </w:rPr>
      </w:pPr>
      <w:r w:rsidRPr="009B353D">
        <w:rPr>
          <w:sz w:val="24"/>
          <w:szCs w:val="24"/>
        </w:rPr>
        <w:t>Conocimiento de estándares ambientales internacionales. Se valorará especialmente la experiencia con estándares y políticas de salvaguardas del GEF, PNUMA, Naciones Unidas u otros organismos multilaterales.</w:t>
      </w:r>
    </w:p>
    <w:p w14:paraId="1CD48E73" w14:textId="77777777" w:rsidR="00681BFA" w:rsidRPr="00E76B28" w:rsidRDefault="00681BFA" w:rsidP="009E6F48">
      <w:pPr>
        <w:pStyle w:val="TableParagraph"/>
        <w:numPr>
          <w:ilvl w:val="0"/>
          <w:numId w:val="1"/>
        </w:numPr>
        <w:tabs>
          <w:tab w:val="left" w:pos="826"/>
        </w:tabs>
        <w:spacing w:line="276" w:lineRule="auto"/>
        <w:ind w:right="182"/>
        <w:jc w:val="both"/>
        <w:rPr>
          <w:sz w:val="24"/>
          <w:szCs w:val="24"/>
        </w:rPr>
      </w:pPr>
      <w:r w:rsidRPr="00E76B28">
        <w:rPr>
          <w:sz w:val="24"/>
          <w:szCs w:val="24"/>
        </w:rPr>
        <w:t>Al menos 1 (una) experiencia de trabajo con instituciones públicas.</w:t>
      </w:r>
    </w:p>
    <w:p w14:paraId="463CB8DB" w14:textId="21699E6E" w:rsidR="006D40C7" w:rsidRPr="00E76B28" w:rsidRDefault="00681BFA" w:rsidP="009E6F48">
      <w:pPr>
        <w:pStyle w:val="TableParagraph"/>
        <w:numPr>
          <w:ilvl w:val="0"/>
          <w:numId w:val="1"/>
        </w:numPr>
        <w:tabs>
          <w:tab w:val="left" w:pos="826"/>
        </w:tabs>
        <w:spacing w:line="276" w:lineRule="auto"/>
        <w:ind w:right="182"/>
        <w:jc w:val="both"/>
        <w:rPr>
          <w:sz w:val="24"/>
          <w:szCs w:val="24"/>
        </w:rPr>
      </w:pPr>
      <w:r w:rsidRPr="00E76B28">
        <w:rPr>
          <w:sz w:val="24"/>
          <w:szCs w:val="24"/>
        </w:rPr>
        <w:t>Al menos 1 (una) experiencia de trabajo comprobable en proyectos de cooperación internacional.</w:t>
      </w:r>
    </w:p>
    <w:p w14:paraId="6AFFFE18" w14:textId="509E56FD" w:rsidR="00681BFA" w:rsidRPr="00E76B28" w:rsidRDefault="00681BFA" w:rsidP="00681BFA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  <w:u w:val="single"/>
        </w:rPr>
        <w:t>Habilidades</w:t>
      </w:r>
      <w:r w:rsidRPr="00E76B28">
        <w:rPr>
          <w:rFonts w:ascii="Calibri" w:hAnsi="Calibri" w:cs="Calibri"/>
          <w:sz w:val="24"/>
          <w:szCs w:val="24"/>
        </w:rPr>
        <w:t>:</w:t>
      </w:r>
    </w:p>
    <w:p w14:paraId="2AEAE440" w14:textId="7A57BA7F" w:rsidR="009B353D" w:rsidRPr="006D7E72" w:rsidRDefault="009B353D" w:rsidP="003D0341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Calibri" w:hAnsi="Calibri" w:cs="Calibri"/>
          <w:sz w:val="24"/>
          <w:szCs w:val="24"/>
          <w:lang w:val="es-ES"/>
        </w:rPr>
      </w:pPr>
      <w:r w:rsidRPr="006D7E72">
        <w:rPr>
          <w:rFonts w:ascii="Calibri" w:hAnsi="Calibri" w:cs="Calibri"/>
          <w:sz w:val="24"/>
          <w:szCs w:val="24"/>
          <w:lang w:val="es-ES"/>
        </w:rPr>
        <w:t xml:space="preserve">Capacidad de análisis </w:t>
      </w:r>
      <w:r>
        <w:rPr>
          <w:rFonts w:ascii="Calibri" w:hAnsi="Calibri" w:cs="Calibri"/>
          <w:sz w:val="24"/>
          <w:szCs w:val="24"/>
          <w:lang w:val="es-ES"/>
        </w:rPr>
        <w:t>técnico, planificación y toma de decisiones.</w:t>
      </w:r>
    </w:p>
    <w:p w14:paraId="621F6B97" w14:textId="148B74F4" w:rsidR="009B353D" w:rsidRDefault="009B353D" w:rsidP="003D0341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Capacidad para elaborar informes técnicos claros, estructurados y orientados a resultados.</w:t>
      </w:r>
    </w:p>
    <w:p w14:paraId="59A37520" w14:textId="2F004709" w:rsidR="009B353D" w:rsidRPr="009B353D" w:rsidRDefault="009B353D" w:rsidP="003D0341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Capacidad para trabajar con equipos multidisciplinarios, instituciones públicas, y comunidades.</w:t>
      </w:r>
    </w:p>
    <w:p w14:paraId="6C174834" w14:textId="03A73879" w:rsidR="006D7E72" w:rsidRDefault="006D7E72" w:rsidP="003D0341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Calibri" w:hAnsi="Calibri" w:cs="Calibri"/>
          <w:sz w:val="24"/>
          <w:szCs w:val="24"/>
          <w:lang w:val="es-ES"/>
        </w:rPr>
      </w:pPr>
      <w:r w:rsidRPr="006D7E72">
        <w:rPr>
          <w:rFonts w:ascii="Calibri" w:hAnsi="Calibri" w:cs="Calibri"/>
          <w:sz w:val="24"/>
          <w:szCs w:val="24"/>
          <w:lang w:val="es-ES"/>
        </w:rPr>
        <w:t>Manejo de herramientas informáticas, procesadores de textos, planillas electrónicas y herramientas de presentación (comprobable)</w:t>
      </w:r>
      <w:r w:rsidR="009B353D">
        <w:rPr>
          <w:rFonts w:ascii="Calibri" w:hAnsi="Calibri" w:cs="Calibri"/>
          <w:sz w:val="24"/>
          <w:szCs w:val="24"/>
          <w:lang w:val="es-ES"/>
        </w:rPr>
        <w:t>.</w:t>
      </w:r>
    </w:p>
    <w:p w14:paraId="5CFC3400" w14:textId="7E5F8838" w:rsidR="009B353D" w:rsidRPr="006D7E72" w:rsidRDefault="009B353D" w:rsidP="003D0341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Se valorará experiencia en el uso de herramientas digitales de recolección de datos, bases de datos, tableros de seguimiento, sistemas georreferenciados o herramientas de visualización de resultados.</w:t>
      </w:r>
    </w:p>
    <w:p w14:paraId="7F25CE4B" w14:textId="77777777" w:rsidR="006D7E72" w:rsidRPr="00E76B28" w:rsidRDefault="006D7E72" w:rsidP="003D0341">
      <w:pPr>
        <w:pStyle w:val="Prrafodelista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Se requiere fluidez en español y competencia media del inglés hablado y escrito. Se valorará el conocimiento de la lengua local (guaraní).</w:t>
      </w:r>
    </w:p>
    <w:p w14:paraId="28A6B64A" w14:textId="6C5A07F0" w:rsidR="000A350B" w:rsidRPr="00E76B28" w:rsidRDefault="000A350B" w:rsidP="00F0131E">
      <w:pPr>
        <w:spacing w:after="12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E76B28">
        <w:rPr>
          <w:rFonts w:ascii="Calibri" w:hAnsi="Calibri" w:cs="Calibri"/>
          <w:b/>
          <w:sz w:val="24"/>
          <w:szCs w:val="24"/>
          <w:u w:val="single"/>
        </w:rPr>
        <w:t>Condiciones</w:t>
      </w:r>
      <w:r w:rsidR="004B215D" w:rsidRPr="00E76B28">
        <w:rPr>
          <w:rFonts w:ascii="Calibri" w:hAnsi="Calibri" w:cs="Calibri"/>
          <w:b/>
          <w:sz w:val="24"/>
          <w:szCs w:val="24"/>
          <w:u w:val="single"/>
        </w:rPr>
        <w:t xml:space="preserve"> del contrato</w:t>
      </w:r>
    </w:p>
    <w:p w14:paraId="1EABFDCA" w14:textId="32D95678" w:rsidR="000A350B" w:rsidRPr="00E76B28" w:rsidRDefault="000A350B" w:rsidP="000E5C2C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 xml:space="preserve">Disponibilidad de </w:t>
      </w:r>
      <w:r w:rsidRPr="00E76B28">
        <w:rPr>
          <w:rFonts w:ascii="Calibri" w:hAnsi="Calibri" w:cs="Calibri"/>
          <w:b/>
          <w:bCs/>
          <w:sz w:val="24"/>
          <w:szCs w:val="24"/>
        </w:rPr>
        <w:t>tiempo</w:t>
      </w:r>
      <w:r w:rsidR="002C51EC" w:rsidRPr="00E76B28">
        <w:rPr>
          <w:rFonts w:ascii="Calibri" w:hAnsi="Calibri" w:cs="Calibri"/>
          <w:b/>
          <w:bCs/>
          <w:sz w:val="24"/>
          <w:szCs w:val="24"/>
        </w:rPr>
        <w:t xml:space="preserve"> completo</w:t>
      </w:r>
      <w:r w:rsidRPr="00E76B28">
        <w:rPr>
          <w:rFonts w:ascii="Calibri" w:hAnsi="Calibri" w:cs="Calibri"/>
          <w:sz w:val="24"/>
          <w:szCs w:val="24"/>
        </w:rPr>
        <w:t xml:space="preserve"> para desarrollar las funciones y productos previstos en el marco de la presente consultoría y deberá contar con los medios y equipos necesarios para el cumplimiento de la presente consultoría. Deberá cumplir funciones en el MADES en horario laboral normal.</w:t>
      </w:r>
    </w:p>
    <w:p w14:paraId="40263F63" w14:textId="4C956A78" w:rsidR="000A350B" w:rsidRDefault="000A350B" w:rsidP="000E5C2C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>En caso de necesidad de viajes al interior del país, el costo del viático será cubierto por el proyecto, previa autorización</w:t>
      </w:r>
      <w:r w:rsidR="00493DDB" w:rsidRPr="00E76B28">
        <w:rPr>
          <w:rFonts w:ascii="Calibri" w:hAnsi="Calibri" w:cs="Calibri"/>
          <w:sz w:val="24"/>
          <w:szCs w:val="24"/>
        </w:rPr>
        <w:t xml:space="preserve"> del Punto Focal del Convenio de Minamata del MADES</w:t>
      </w:r>
      <w:r w:rsidRPr="00E76B28">
        <w:rPr>
          <w:rFonts w:ascii="Calibri" w:hAnsi="Calibri" w:cs="Calibri"/>
          <w:sz w:val="24"/>
          <w:szCs w:val="24"/>
        </w:rPr>
        <w:t>.</w:t>
      </w:r>
      <w:r w:rsidR="00C31C59" w:rsidRPr="00E76B28">
        <w:rPr>
          <w:rFonts w:ascii="Calibri" w:hAnsi="Calibri" w:cs="Calibri"/>
          <w:sz w:val="24"/>
          <w:szCs w:val="24"/>
        </w:rPr>
        <w:t xml:space="preserve"> Esto también aplica para viajes al exterior del país.</w:t>
      </w:r>
    </w:p>
    <w:p w14:paraId="2580A296" w14:textId="77777777" w:rsidR="009865F7" w:rsidRDefault="009865F7" w:rsidP="000E5C2C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p w14:paraId="165AA158" w14:textId="53ED85F5" w:rsidR="000A350B" w:rsidRPr="00E76B28" w:rsidRDefault="003A2B56" w:rsidP="000E5C2C">
      <w:pPr>
        <w:spacing w:after="12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E76B28">
        <w:rPr>
          <w:rFonts w:ascii="Calibri" w:hAnsi="Calibri" w:cs="Calibri"/>
          <w:b/>
          <w:sz w:val="24"/>
          <w:szCs w:val="24"/>
          <w:u w:val="single"/>
        </w:rPr>
        <w:lastRenderedPageBreak/>
        <w:t>Formas de pago</w:t>
      </w:r>
      <w:r w:rsidR="000A350B" w:rsidRPr="00E76B28">
        <w:rPr>
          <w:rFonts w:ascii="Calibri" w:hAnsi="Calibri" w:cs="Calibri"/>
          <w:b/>
          <w:sz w:val="24"/>
          <w:szCs w:val="24"/>
          <w:u w:val="single"/>
        </w:rPr>
        <w:t xml:space="preserve"> y vigencia del contrato</w:t>
      </w:r>
    </w:p>
    <w:p w14:paraId="3B232910" w14:textId="77777777" w:rsidR="002C51EC" w:rsidRPr="00E76B28" w:rsidRDefault="003A2B56" w:rsidP="002C51EC">
      <w:pPr>
        <w:jc w:val="both"/>
        <w:rPr>
          <w:rFonts w:ascii="Calibri" w:hAnsi="Calibri" w:cs="Calibri"/>
          <w:sz w:val="24"/>
          <w:szCs w:val="24"/>
        </w:rPr>
      </w:pPr>
      <w:r w:rsidRPr="00E76B28">
        <w:rPr>
          <w:rFonts w:ascii="Calibri" w:hAnsi="Calibri" w:cs="Calibri"/>
          <w:sz w:val="24"/>
          <w:szCs w:val="24"/>
        </w:rPr>
        <w:t xml:space="preserve">Los pagos serán mensuales contra entrega de informe aprobado por la Coordinación del Proyecto planetGOLD Paraguay y </w:t>
      </w:r>
      <w:r w:rsidR="004642EE" w:rsidRPr="00E76B28">
        <w:rPr>
          <w:rFonts w:ascii="Calibri" w:hAnsi="Calibri" w:cs="Calibri"/>
          <w:sz w:val="24"/>
          <w:szCs w:val="24"/>
        </w:rPr>
        <w:t>el Punto Focal del Convenio de Minamata</w:t>
      </w:r>
      <w:r w:rsidR="002130C8" w:rsidRPr="00E76B28">
        <w:rPr>
          <w:rFonts w:ascii="Calibri" w:hAnsi="Calibri" w:cs="Calibri"/>
          <w:sz w:val="24"/>
          <w:szCs w:val="24"/>
        </w:rPr>
        <w:t xml:space="preserve"> del MADES</w:t>
      </w:r>
      <w:r w:rsidR="004642EE" w:rsidRPr="00E76B28">
        <w:rPr>
          <w:rFonts w:ascii="Calibri" w:hAnsi="Calibri" w:cs="Calibri"/>
          <w:sz w:val="24"/>
          <w:szCs w:val="24"/>
        </w:rPr>
        <w:t>.</w:t>
      </w:r>
      <w:r w:rsidRPr="00E76B28">
        <w:rPr>
          <w:rFonts w:ascii="Calibri" w:hAnsi="Calibri" w:cs="Calibri"/>
          <w:sz w:val="24"/>
          <w:szCs w:val="24"/>
        </w:rPr>
        <w:t xml:space="preserve"> </w:t>
      </w:r>
    </w:p>
    <w:p w14:paraId="7E1CB166" w14:textId="74D56F7E" w:rsidR="002C51EC" w:rsidRPr="00E76B28" w:rsidRDefault="002C51EC" w:rsidP="002C51EC">
      <w:pPr>
        <w:jc w:val="both"/>
        <w:rPr>
          <w:rFonts w:ascii="Calibri" w:hAnsi="Calibri" w:cs="Calibri"/>
          <w:sz w:val="24"/>
          <w:szCs w:val="24"/>
          <w:lang w:val="es-PY"/>
        </w:rPr>
      </w:pPr>
      <w:r w:rsidRPr="00E76B28">
        <w:rPr>
          <w:rFonts w:ascii="Calibri" w:hAnsi="Calibri" w:cs="Calibri"/>
          <w:sz w:val="24"/>
          <w:szCs w:val="24"/>
          <w:lang w:val="es-PY"/>
        </w:rPr>
        <w:t xml:space="preserve">La consultoría tendrá una vigencia de </w:t>
      </w:r>
      <w:r w:rsidRPr="00E76B28">
        <w:rPr>
          <w:rFonts w:ascii="Calibri" w:hAnsi="Calibri" w:cs="Calibri"/>
          <w:b/>
          <w:bCs/>
          <w:sz w:val="24"/>
          <w:szCs w:val="24"/>
          <w:lang w:val="es-PY"/>
        </w:rPr>
        <w:t>365 días a partir de la firma del contrato</w:t>
      </w:r>
      <w:r w:rsidRPr="00E76B28">
        <w:rPr>
          <w:rFonts w:ascii="Calibri" w:hAnsi="Calibri" w:cs="Calibri"/>
          <w:sz w:val="24"/>
          <w:szCs w:val="24"/>
          <w:lang w:val="es-PY"/>
        </w:rPr>
        <w:t xml:space="preserve">, considerando inicialmente un </w:t>
      </w:r>
      <w:r w:rsidRPr="00E76B28">
        <w:rPr>
          <w:rFonts w:ascii="Calibri" w:hAnsi="Calibri" w:cs="Calibri"/>
          <w:b/>
          <w:bCs/>
          <w:sz w:val="24"/>
          <w:szCs w:val="24"/>
          <w:lang w:val="es-PY"/>
        </w:rPr>
        <w:t>período de prueba de tres (3) meses</w:t>
      </w:r>
      <w:r w:rsidRPr="00E76B28">
        <w:rPr>
          <w:rFonts w:ascii="Calibri" w:hAnsi="Calibri" w:cs="Calibri"/>
          <w:sz w:val="24"/>
          <w:szCs w:val="24"/>
          <w:lang w:val="es-PY"/>
        </w:rPr>
        <w:t>, sujeto a evaluación de desempeño.</w:t>
      </w:r>
    </w:p>
    <w:p w14:paraId="230AEEDE" w14:textId="2DCE93C9" w:rsidR="000B7AB9" w:rsidRPr="00E76B28" w:rsidRDefault="000B7AB9" w:rsidP="00866006">
      <w:pPr>
        <w:jc w:val="both"/>
        <w:rPr>
          <w:rFonts w:ascii="Calibri" w:hAnsi="Calibri" w:cs="Calibri"/>
          <w:sz w:val="24"/>
          <w:szCs w:val="24"/>
          <w:lang w:val="es-PY"/>
        </w:rPr>
      </w:pPr>
    </w:p>
    <w:p w14:paraId="12F9AE6E" w14:textId="16CE061E" w:rsidR="004B215D" w:rsidRPr="00E76B28" w:rsidRDefault="004B215D" w:rsidP="004B215D">
      <w:pPr>
        <w:jc w:val="both"/>
        <w:rPr>
          <w:rFonts w:ascii="Calibri" w:hAnsi="Calibri" w:cs="Calibri"/>
          <w:sz w:val="24"/>
          <w:szCs w:val="24"/>
        </w:rPr>
      </w:pPr>
    </w:p>
    <w:sectPr w:rsidR="004B215D" w:rsidRPr="00E76B28" w:rsidSect="00FC0507">
      <w:headerReference w:type="default" r:id="rId10"/>
      <w:footerReference w:type="default" r:id="rId11"/>
      <w:pgSz w:w="11907" w:h="16839" w:code="9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AF19" w14:textId="77777777" w:rsidR="00916CEA" w:rsidRDefault="00916CEA" w:rsidP="000841B5">
      <w:pPr>
        <w:spacing w:after="0" w:line="240" w:lineRule="auto"/>
      </w:pPr>
      <w:r>
        <w:separator/>
      </w:r>
    </w:p>
  </w:endnote>
  <w:endnote w:type="continuationSeparator" w:id="0">
    <w:p w14:paraId="69DA6380" w14:textId="77777777" w:rsidR="00916CEA" w:rsidRDefault="00916CEA" w:rsidP="0008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3E4E" w14:textId="77777777" w:rsidR="007A0701" w:rsidRPr="007A0701" w:rsidRDefault="007A0701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18"/>
        <w:szCs w:val="24"/>
      </w:rPr>
    </w:pPr>
    <w:r w:rsidRPr="007A0701">
      <w:rPr>
        <w:color w:val="2C7FCE" w:themeColor="text2" w:themeTint="99"/>
        <w:spacing w:val="60"/>
        <w:sz w:val="18"/>
        <w:szCs w:val="24"/>
        <w:lang w:val="es-ES"/>
      </w:rPr>
      <w:t>Página</w:t>
    </w:r>
    <w:r w:rsidRPr="007A0701">
      <w:rPr>
        <w:color w:val="2C7FCE" w:themeColor="text2" w:themeTint="99"/>
        <w:sz w:val="18"/>
        <w:szCs w:val="24"/>
        <w:lang w:val="es-ES"/>
      </w:rPr>
      <w:t xml:space="preserve"> </w:t>
    </w:r>
    <w:r w:rsidRPr="007A0701">
      <w:rPr>
        <w:color w:val="0A1D30" w:themeColor="text2" w:themeShade="BF"/>
        <w:sz w:val="18"/>
        <w:szCs w:val="24"/>
      </w:rPr>
      <w:fldChar w:fldCharType="begin"/>
    </w:r>
    <w:r w:rsidRPr="007A0701">
      <w:rPr>
        <w:color w:val="0A1D30" w:themeColor="text2" w:themeShade="BF"/>
        <w:sz w:val="18"/>
        <w:szCs w:val="24"/>
      </w:rPr>
      <w:instrText>PAGE   \* MERGEFORMAT</w:instrText>
    </w:r>
    <w:r w:rsidRPr="007A0701">
      <w:rPr>
        <w:color w:val="0A1D30" w:themeColor="text2" w:themeShade="BF"/>
        <w:sz w:val="18"/>
        <w:szCs w:val="24"/>
      </w:rPr>
      <w:fldChar w:fldCharType="separate"/>
    </w:r>
    <w:r w:rsidR="00087586" w:rsidRPr="00087586">
      <w:rPr>
        <w:noProof/>
        <w:color w:val="0A1D30" w:themeColor="text2" w:themeShade="BF"/>
        <w:sz w:val="18"/>
        <w:szCs w:val="24"/>
        <w:lang w:val="es-ES"/>
      </w:rPr>
      <w:t>5</w:t>
    </w:r>
    <w:r w:rsidRPr="007A0701">
      <w:rPr>
        <w:color w:val="0A1D30" w:themeColor="text2" w:themeShade="BF"/>
        <w:sz w:val="18"/>
        <w:szCs w:val="24"/>
      </w:rPr>
      <w:fldChar w:fldCharType="end"/>
    </w:r>
    <w:r w:rsidRPr="007A0701">
      <w:rPr>
        <w:color w:val="0A1D30" w:themeColor="text2" w:themeShade="BF"/>
        <w:sz w:val="18"/>
        <w:szCs w:val="24"/>
        <w:lang w:val="es-ES"/>
      </w:rPr>
      <w:t xml:space="preserve"> | </w:t>
    </w:r>
    <w:r w:rsidRPr="007A0701">
      <w:rPr>
        <w:color w:val="0A1D30" w:themeColor="text2" w:themeShade="BF"/>
        <w:sz w:val="18"/>
        <w:szCs w:val="24"/>
      </w:rPr>
      <w:fldChar w:fldCharType="begin"/>
    </w:r>
    <w:r w:rsidRPr="007A0701">
      <w:rPr>
        <w:color w:val="0A1D30" w:themeColor="text2" w:themeShade="BF"/>
        <w:sz w:val="18"/>
        <w:szCs w:val="24"/>
      </w:rPr>
      <w:instrText>NUMPAGES  \* Arabic  \* MERGEFORMAT</w:instrText>
    </w:r>
    <w:r w:rsidRPr="007A0701">
      <w:rPr>
        <w:color w:val="0A1D30" w:themeColor="text2" w:themeShade="BF"/>
        <w:sz w:val="18"/>
        <w:szCs w:val="24"/>
      </w:rPr>
      <w:fldChar w:fldCharType="separate"/>
    </w:r>
    <w:r w:rsidR="00087586" w:rsidRPr="00087586">
      <w:rPr>
        <w:noProof/>
        <w:color w:val="0A1D30" w:themeColor="text2" w:themeShade="BF"/>
        <w:sz w:val="18"/>
        <w:szCs w:val="24"/>
        <w:lang w:val="es-ES"/>
      </w:rPr>
      <w:t>5</w:t>
    </w:r>
    <w:r w:rsidRPr="007A0701">
      <w:rPr>
        <w:color w:val="0A1D30" w:themeColor="text2" w:themeShade="BF"/>
        <w:sz w:val="18"/>
        <w:szCs w:val="24"/>
      </w:rPr>
      <w:fldChar w:fldCharType="end"/>
    </w:r>
  </w:p>
  <w:p w14:paraId="126FF97E" w14:textId="77777777" w:rsidR="007A0701" w:rsidRDefault="007A07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0E18" w14:textId="77777777" w:rsidR="00916CEA" w:rsidRDefault="00916CEA" w:rsidP="000841B5">
      <w:pPr>
        <w:spacing w:after="0" w:line="240" w:lineRule="auto"/>
      </w:pPr>
      <w:r>
        <w:separator/>
      </w:r>
    </w:p>
  </w:footnote>
  <w:footnote w:type="continuationSeparator" w:id="0">
    <w:p w14:paraId="4031C5A0" w14:textId="77777777" w:rsidR="00916CEA" w:rsidRDefault="00916CEA" w:rsidP="0008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A543" w14:textId="096657D7" w:rsidR="000841B5" w:rsidRPr="0099118F" w:rsidRDefault="00422C1F">
    <w:pPr>
      <w:pStyle w:val="Encabezado"/>
      <w:rPr>
        <w:sz w:val="10"/>
        <w:lang w:val="es-E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449425" wp14:editId="425E6014">
          <wp:simplePos x="0" y="0"/>
          <wp:positionH relativeFrom="column">
            <wp:posOffset>3388500</wp:posOffset>
          </wp:positionH>
          <wp:positionV relativeFrom="paragraph">
            <wp:posOffset>-191036</wp:posOffset>
          </wp:positionV>
          <wp:extent cx="1192192" cy="458535"/>
          <wp:effectExtent l="0" t="0" r="8255" b="0"/>
          <wp:wrapNone/>
          <wp:docPr id="4931740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17402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192" cy="45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7CD" w:rsidRPr="0099118F">
      <w:rPr>
        <w:noProof/>
        <w:sz w:val="10"/>
        <w:lang w:val="es-ES" w:eastAsia="es-ES"/>
      </w:rPr>
      <w:drawing>
        <wp:anchor distT="0" distB="0" distL="114300" distR="114300" simplePos="0" relativeHeight="251658240" behindDoc="0" locked="0" layoutInCell="1" allowOverlap="1" wp14:anchorId="66139A7C" wp14:editId="6F0D2989">
          <wp:simplePos x="0" y="0"/>
          <wp:positionH relativeFrom="margin">
            <wp:posOffset>4611428</wp:posOffset>
          </wp:positionH>
          <wp:positionV relativeFrom="paragraph">
            <wp:posOffset>-200833</wp:posOffset>
          </wp:positionV>
          <wp:extent cx="1282535" cy="468910"/>
          <wp:effectExtent l="0" t="0" r="0" b="7620"/>
          <wp:wrapThrough wrapText="bothSides">
            <wp:wrapPolygon edited="0">
              <wp:start x="0" y="0"/>
              <wp:lineTo x="0" y="21073"/>
              <wp:lineTo x="21183" y="21073"/>
              <wp:lineTo x="2118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ra logo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17" t="27070" r="5074" b="30989"/>
                  <a:stretch/>
                </pic:blipFill>
                <pic:spPr bwMode="auto">
                  <a:xfrm>
                    <a:off x="0" y="0"/>
                    <a:ext cx="1282535" cy="468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7D7"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733AA38" wp14:editId="149D5A4D">
          <wp:simplePos x="0" y="0"/>
          <wp:positionH relativeFrom="column">
            <wp:posOffset>1167633</wp:posOffset>
          </wp:positionH>
          <wp:positionV relativeFrom="paragraph">
            <wp:posOffset>-105756</wp:posOffset>
          </wp:positionV>
          <wp:extent cx="566666" cy="412621"/>
          <wp:effectExtent l="0" t="0" r="5080" b="6985"/>
          <wp:wrapNone/>
          <wp:docPr id="1911523621" name="image2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23621" name="image2.png" descr="Imagen que contiene Logotipo&#10;&#10;Descripción generada automáticament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666" cy="412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7D7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24E51963" wp14:editId="2FA55FA0">
          <wp:simplePos x="0" y="0"/>
          <wp:positionH relativeFrom="column">
            <wp:posOffset>1910022</wp:posOffset>
          </wp:positionH>
          <wp:positionV relativeFrom="paragraph">
            <wp:posOffset>-171557</wp:posOffset>
          </wp:positionV>
          <wp:extent cx="1588848" cy="468000"/>
          <wp:effectExtent l="0" t="0" r="0" b="8255"/>
          <wp:wrapNone/>
          <wp:docPr id="1911523631" name="image4.png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23631" name="image4.png" descr="Imagen que contiene Texto&#10;&#10;Descripción generada automáticamente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8848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7D7">
      <w:rPr>
        <w:rFonts w:ascii="Calibri" w:eastAsia="Calibri" w:hAnsi="Calibri" w:cs="Calibri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6FD4BF9" wp14:editId="04E02253">
          <wp:simplePos x="0" y="0"/>
          <wp:positionH relativeFrom="margin">
            <wp:align>left</wp:align>
          </wp:positionH>
          <wp:positionV relativeFrom="paragraph">
            <wp:posOffset>-147806</wp:posOffset>
          </wp:positionV>
          <wp:extent cx="1080000" cy="485344"/>
          <wp:effectExtent l="0" t="0" r="6350" b="0"/>
          <wp:wrapNone/>
          <wp:docPr id="1911523622" name="image12.jp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23622" name="image12.jpg" descr="Texto&#10;&#10;Descripción generada automáticamente"/>
                  <pic:cNvPicPr preferRelativeResize="0"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485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D57C2B"/>
    <w:multiLevelType w:val="hybridMultilevel"/>
    <w:tmpl w:val="26C23CE0"/>
    <w:lvl w:ilvl="0" w:tplc="808A9FDC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17">
      <w:start w:val="1"/>
      <w:numFmt w:val="lowerLetter"/>
      <w:lvlText w:val="%9)"/>
      <w:lvlJc w:val="left"/>
      <w:pPr>
        <w:ind w:left="360" w:hanging="360"/>
      </w:pPr>
    </w:lvl>
  </w:abstractNum>
  <w:abstractNum w:abstractNumId="1" w15:restartNumberingAfterBreak="0">
    <w:nsid w:val="06912480"/>
    <w:multiLevelType w:val="multilevel"/>
    <w:tmpl w:val="FAD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8494A"/>
    <w:multiLevelType w:val="hybridMultilevel"/>
    <w:tmpl w:val="CE90FF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7F73"/>
    <w:multiLevelType w:val="hybridMultilevel"/>
    <w:tmpl w:val="5978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1C34"/>
    <w:multiLevelType w:val="hybridMultilevel"/>
    <w:tmpl w:val="76EA4D6A"/>
    <w:lvl w:ilvl="0" w:tplc="6DE42A0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6FEB4D8">
      <w:numFmt w:val="bullet"/>
      <w:lvlText w:val="•"/>
      <w:lvlJc w:val="left"/>
      <w:pPr>
        <w:ind w:left="1510" w:hanging="360"/>
      </w:pPr>
      <w:rPr>
        <w:lang w:val="es-ES" w:eastAsia="en-US" w:bidi="ar-SA"/>
      </w:rPr>
    </w:lvl>
    <w:lvl w:ilvl="2" w:tplc="523AE588">
      <w:numFmt w:val="bullet"/>
      <w:lvlText w:val="•"/>
      <w:lvlJc w:val="left"/>
      <w:pPr>
        <w:ind w:left="2201" w:hanging="360"/>
      </w:pPr>
      <w:rPr>
        <w:lang w:val="es-ES" w:eastAsia="en-US" w:bidi="ar-SA"/>
      </w:rPr>
    </w:lvl>
    <w:lvl w:ilvl="3" w:tplc="3E780B36">
      <w:numFmt w:val="bullet"/>
      <w:lvlText w:val="•"/>
      <w:lvlJc w:val="left"/>
      <w:pPr>
        <w:ind w:left="2892" w:hanging="360"/>
      </w:pPr>
      <w:rPr>
        <w:lang w:val="es-ES" w:eastAsia="en-US" w:bidi="ar-SA"/>
      </w:rPr>
    </w:lvl>
    <w:lvl w:ilvl="4" w:tplc="642EA422">
      <w:numFmt w:val="bullet"/>
      <w:lvlText w:val="•"/>
      <w:lvlJc w:val="left"/>
      <w:pPr>
        <w:ind w:left="3583" w:hanging="360"/>
      </w:pPr>
      <w:rPr>
        <w:lang w:val="es-ES" w:eastAsia="en-US" w:bidi="ar-SA"/>
      </w:rPr>
    </w:lvl>
    <w:lvl w:ilvl="5" w:tplc="4BE4CBE0">
      <w:numFmt w:val="bullet"/>
      <w:lvlText w:val="•"/>
      <w:lvlJc w:val="left"/>
      <w:pPr>
        <w:ind w:left="4274" w:hanging="360"/>
      </w:pPr>
      <w:rPr>
        <w:lang w:val="es-ES" w:eastAsia="en-US" w:bidi="ar-SA"/>
      </w:rPr>
    </w:lvl>
    <w:lvl w:ilvl="6" w:tplc="F6F8266C">
      <w:numFmt w:val="bullet"/>
      <w:lvlText w:val="•"/>
      <w:lvlJc w:val="left"/>
      <w:pPr>
        <w:ind w:left="4965" w:hanging="360"/>
      </w:pPr>
      <w:rPr>
        <w:lang w:val="es-ES" w:eastAsia="en-US" w:bidi="ar-SA"/>
      </w:rPr>
    </w:lvl>
    <w:lvl w:ilvl="7" w:tplc="49546D9C">
      <w:numFmt w:val="bullet"/>
      <w:lvlText w:val="•"/>
      <w:lvlJc w:val="left"/>
      <w:pPr>
        <w:ind w:left="5655" w:hanging="360"/>
      </w:pPr>
      <w:rPr>
        <w:lang w:val="es-ES" w:eastAsia="en-US" w:bidi="ar-SA"/>
      </w:rPr>
    </w:lvl>
    <w:lvl w:ilvl="8" w:tplc="5A726038">
      <w:numFmt w:val="bullet"/>
      <w:lvlText w:val="•"/>
      <w:lvlJc w:val="left"/>
      <w:pPr>
        <w:ind w:left="6346" w:hanging="360"/>
      </w:pPr>
      <w:rPr>
        <w:lang w:val="es-ES" w:eastAsia="en-US" w:bidi="ar-SA"/>
      </w:rPr>
    </w:lvl>
  </w:abstractNum>
  <w:abstractNum w:abstractNumId="5" w15:restartNumberingAfterBreak="0">
    <w:nsid w:val="1C5A4F32"/>
    <w:multiLevelType w:val="hybridMultilevel"/>
    <w:tmpl w:val="2F04092C"/>
    <w:lvl w:ilvl="0" w:tplc="2576AC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653F5"/>
    <w:multiLevelType w:val="hybridMultilevel"/>
    <w:tmpl w:val="4896F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F7C54"/>
    <w:multiLevelType w:val="multilevel"/>
    <w:tmpl w:val="E4AE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5418"/>
    <w:multiLevelType w:val="hybridMultilevel"/>
    <w:tmpl w:val="B1C42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E97187"/>
    <w:multiLevelType w:val="hybridMultilevel"/>
    <w:tmpl w:val="4D288EE4"/>
    <w:lvl w:ilvl="0" w:tplc="27460D4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A766AC0">
      <w:numFmt w:val="bullet"/>
      <w:lvlText w:val="•"/>
      <w:lvlJc w:val="left"/>
      <w:pPr>
        <w:ind w:left="1510" w:hanging="360"/>
      </w:pPr>
      <w:rPr>
        <w:lang w:val="es-ES" w:eastAsia="en-US" w:bidi="ar-SA"/>
      </w:rPr>
    </w:lvl>
    <w:lvl w:ilvl="2" w:tplc="CDAE07BA">
      <w:numFmt w:val="bullet"/>
      <w:lvlText w:val="•"/>
      <w:lvlJc w:val="left"/>
      <w:pPr>
        <w:ind w:left="2201" w:hanging="360"/>
      </w:pPr>
      <w:rPr>
        <w:lang w:val="es-ES" w:eastAsia="en-US" w:bidi="ar-SA"/>
      </w:rPr>
    </w:lvl>
    <w:lvl w:ilvl="3" w:tplc="EA045762">
      <w:numFmt w:val="bullet"/>
      <w:lvlText w:val="•"/>
      <w:lvlJc w:val="left"/>
      <w:pPr>
        <w:ind w:left="2892" w:hanging="360"/>
      </w:pPr>
      <w:rPr>
        <w:lang w:val="es-ES" w:eastAsia="en-US" w:bidi="ar-SA"/>
      </w:rPr>
    </w:lvl>
    <w:lvl w:ilvl="4" w:tplc="C0A03362">
      <w:numFmt w:val="bullet"/>
      <w:lvlText w:val="•"/>
      <w:lvlJc w:val="left"/>
      <w:pPr>
        <w:ind w:left="3583" w:hanging="360"/>
      </w:pPr>
      <w:rPr>
        <w:lang w:val="es-ES" w:eastAsia="en-US" w:bidi="ar-SA"/>
      </w:rPr>
    </w:lvl>
    <w:lvl w:ilvl="5" w:tplc="93B4F2E8">
      <w:numFmt w:val="bullet"/>
      <w:lvlText w:val="•"/>
      <w:lvlJc w:val="left"/>
      <w:pPr>
        <w:ind w:left="4274" w:hanging="360"/>
      </w:pPr>
      <w:rPr>
        <w:lang w:val="es-ES" w:eastAsia="en-US" w:bidi="ar-SA"/>
      </w:rPr>
    </w:lvl>
    <w:lvl w:ilvl="6" w:tplc="604CBEE2">
      <w:numFmt w:val="bullet"/>
      <w:lvlText w:val="•"/>
      <w:lvlJc w:val="left"/>
      <w:pPr>
        <w:ind w:left="4965" w:hanging="360"/>
      </w:pPr>
      <w:rPr>
        <w:lang w:val="es-ES" w:eastAsia="en-US" w:bidi="ar-SA"/>
      </w:rPr>
    </w:lvl>
    <w:lvl w:ilvl="7" w:tplc="6A641BB8">
      <w:numFmt w:val="bullet"/>
      <w:lvlText w:val="•"/>
      <w:lvlJc w:val="left"/>
      <w:pPr>
        <w:ind w:left="5655" w:hanging="360"/>
      </w:pPr>
      <w:rPr>
        <w:lang w:val="es-ES" w:eastAsia="en-US" w:bidi="ar-SA"/>
      </w:rPr>
    </w:lvl>
    <w:lvl w:ilvl="8" w:tplc="D5301D02">
      <w:numFmt w:val="bullet"/>
      <w:lvlText w:val="•"/>
      <w:lvlJc w:val="left"/>
      <w:pPr>
        <w:ind w:left="6346" w:hanging="360"/>
      </w:pPr>
      <w:rPr>
        <w:lang w:val="es-ES" w:eastAsia="en-US" w:bidi="ar-SA"/>
      </w:rPr>
    </w:lvl>
  </w:abstractNum>
  <w:abstractNum w:abstractNumId="10" w15:restartNumberingAfterBreak="0">
    <w:nsid w:val="352D4CBA"/>
    <w:multiLevelType w:val="hybridMultilevel"/>
    <w:tmpl w:val="83D2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6138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BF500BC"/>
    <w:multiLevelType w:val="multilevel"/>
    <w:tmpl w:val="DB088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135F96"/>
    <w:multiLevelType w:val="multilevel"/>
    <w:tmpl w:val="B400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C1148"/>
    <w:multiLevelType w:val="hybridMultilevel"/>
    <w:tmpl w:val="5BCAE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91BD7"/>
    <w:multiLevelType w:val="hybridMultilevel"/>
    <w:tmpl w:val="72A47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47765"/>
    <w:multiLevelType w:val="multilevel"/>
    <w:tmpl w:val="6F88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E79EB"/>
    <w:multiLevelType w:val="multilevel"/>
    <w:tmpl w:val="0532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A824E5"/>
    <w:multiLevelType w:val="hybridMultilevel"/>
    <w:tmpl w:val="2B06E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CE7817"/>
    <w:multiLevelType w:val="hybridMultilevel"/>
    <w:tmpl w:val="500E91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5696201">
    <w:abstractNumId w:val="19"/>
  </w:num>
  <w:num w:numId="2" w16cid:durableId="180046350">
    <w:abstractNumId w:val="2"/>
  </w:num>
  <w:num w:numId="3" w16cid:durableId="1606110576">
    <w:abstractNumId w:val="10"/>
  </w:num>
  <w:num w:numId="4" w16cid:durableId="991982801">
    <w:abstractNumId w:val="13"/>
  </w:num>
  <w:num w:numId="5" w16cid:durableId="2052147904">
    <w:abstractNumId w:val="7"/>
  </w:num>
  <w:num w:numId="6" w16cid:durableId="1101804727">
    <w:abstractNumId w:val="17"/>
  </w:num>
  <w:num w:numId="7" w16cid:durableId="1070885510">
    <w:abstractNumId w:val="16"/>
  </w:num>
  <w:num w:numId="8" w16cid:durableId="857163292">
    <w:abstractNumId w:val="1"/>
  </w:num>
  <w:num w:numId="9" w16cid:durableId="1988779235">
    <w:abstractNumId w:val="15"/>
  </w:num>
  <w:num w:numId="10" w16cid:durableId="984549363">
    <w:abstractNumId w:val="3"/>
  </w:num>
  <w:num w:numId="11" w16cid:durableId="1586644126">
    <w:abstractNumId w:val="12"/>
  </w:num>
  <w:num w:numId="12" w16cid:durableId="8333140">
    <w:abstractNumId w:val="18"/>
  </w:num>
  <w:num w:numId="13" w16cid:durableId="604584285">
    <w:abstractNumId w:val="0"/>
  </w:num>
  <w:num w:numId="14" w16cid:durableId="2109157966">
    <w:abstractNumId w:val="6"/>
  </w:num>
  <w:num w:numId="15" w16cid:durableId="2132361334">
    <w:abstractNumId w:val="8"/>
  </w:num>
  <w:num w:numId="16" w16cid:durableId="264581664">
    <w:abstractNumId w:val="11"/>
  </w:num>
  <w:num w:numId="17" w16cid:durableId="1410039448">
    <w:abstractNumId w:val="14"/>
  </w:num>
  <w:num w:numId="18" w16cid:durableId="1056203802">
    <w:abstractNumId w:val="5"/>
  </w:num>
  <w:num w:numId="19" w16cid:durableId="2138142910">
    <w:abstractNumId w:val="4"/>
  </w:num>
  <w:num w:numId="20" w16cid:durableId="1102653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08"/>
    <w:rsid w:val="000179D3"/>
    <w:rsid w:val="0002205F"/>
    <w:rsid w:val="000418EC"/>
    <w:rsid w:val="000608CC"/>
    <w:rsid w:val="0006484F"/>
    <w:rsid w:val="00064E7C"/>
    <w:rsid w:val="00065509"/>
    <w:rsid w:val="000841B5"/>
    <w:rsid w:val="00085912"/>
    <w:rsid w:val="00087586"/>
    <w:rsid w:val="000A350B"/>
    <w:rsid w:val="000A5766"/>
    <w:rsid w:val="000B4C84"/>
    <w:rsid w:val="000B7AB9"/>
    <w:rsid w:val="000C7AF1"/>
    <w:rsid w:val="000D6F97"/>
    <w:rsid w:val="000E327A"/>
    <w:rsid w:val="000E3EE1"/>
    <w:rsid w:val="000E5C2C"/>
    <w:rsid w:val="000F22D3"/>
    <w:rsid w:val="000F361B"/>
    <w:rsid w:val="000F4E5B"/>
    <w:rsid w:val="00103391"/>
    <w:rsid w:val="00105793"/>
    <w:rsid w:val="001106F7"/>
    <w:rsid w:val="0011156C"/>
    <w:rsid w:val="00127547"/>
    <w:rsid w:val="00130873"/>
    <w:rsid w:val="00137278"/>
    <w:rsid w:val="0014084F"/>
    <w:rsid w:val="00154DA3"/>
    <w:rsid w:val="00157070"/>
    <w:rsid w:val="0016266F"/>
    <w:rsid w:val="00162C83"/>
    <w:rsid w:val="0016481F"/>
    <w:rsid w:val="00164DA2"/>
    <w:rsid w:val="00174778"/>
    <w:rsid w:val="00180311"/>
    <w:rsid w:val="00182967"/>
    <w:rsid w:val="00186902"/>
    <w:rsid w:val="001932F2"/>
    <w:rsid w:val="00195254"/>
    <w:rsid w:val="001B70BE"/>
    <w:rsid w:val="001C24BA"/>
    <w:rsid w:val="001C2B15"/>
    <w:rsid w:val="001D1B72"/>
    <w:rsid w:val="001E0812"/>
    <w:rsid w:val="001E1EE6"/>
    <w:rsid w:val="001E713A"/>
    <w:rsid w:val="00206C38"/>
    <w:rsid w:val="002130C8"/>
    <w:rsid w:val="00213322"/>
    <w:rsid w:val="00215511"/>
    <w:rsid w:val="002277AE"/>
    <w:rsid w:val="002278E4"/>
    <w:rsid w:val="00243EF8"/>
    <w:rsid w:val="00257F2F"/>
    <w:rsid w:val="002653F7"/>
    <w:rsid w:val="002722B6"/>
    <w:rsid w:val="00274CF7"/>
    <w:rsid w:val="00277166"/>
    <w:rsid w:val="002B502C"/>
    <w:rsid w:val="002C3E00"/>
    <w:rsid w:val="002C51EC"/>
    <w:rsid w:val="002D04AF"/>
    <w:rsid w:val="002E28BF"/>
    <w:rsid w:val="002E2FE9"/>
    <w:rsid w:val="003001BD"/>
    <w:rsid w:val="00300A90"/>
    <w:rsid w:val="00304257"/>
    <w:rsid w:val="00304E5E"/>
    <w:rsid w:val="00307850"/>
    <w:rsid w:val="0032406E"/>
    <w:rsid w:val="00340582"/>
    <w:rsid w:val="00342BB2"/>
    <w:rsid w:val="003458D9"/>
    <w:rsid w:val="00350003"/>
    <w:rsid w:val="00351D22"/>
    <w:rsid w:val="00363E51"/>
    <w:rsid w:val="00364D6D"/>
    <w:rsid w:val="0037496E"/>
    <w:rsid w:val="003772E4"/>
    <w:rsid w:val="0038782B"/>
    <w:rsid w:val="003923E9"/>
    <w:rsid w:val="0039285C"/>
    <w:rsid w:val="00393F9D"/>
    <w:rsid w:val="003940DA"/>
    <w:rsid w:val="00396F96"/>
    <w:rsid w:val="003976A7"/>
    <w:rsid w:val="003A2B56"/>
    <w:rsid w:val="003C0B6D"/>
    <w:rsid w:val="003C32D5"/>
    <w:rsid w:val="003C3780"/>
    <w:rsid w:val="003D0341"/>
    <w:rsid w:val="003D2200"/>
    <w:rsid w:val="003E7952"/>
    <w:rsid w:val="003F3CB9"/>
    <w:rsid w:val="00404429"/>
    <w:rsid w:val="0040551B"/>
    <w:rsid w:val="0041535B"/>
    <w:rsid w:val="00415ECB"/>
    <w:rsid w:val="00422C1F"/>
    <w:rsid w:val="004439D6"/>
    <w:rsid w:val="00446BE2"/>
    <w:rsid w:val="00451B5C"/>
    <w:rsid w:val="00451ED2"/>
    <w:rsid w:val="0046278D"/>
    <w:rsid w:val="004642EE"/>
    <w:rsid w:val="00480A74"/>
    <w:rsid w:val="00493B1E"/>
    <w:rsid w:val="00493DDB"/>
    <w:rsid w:val="004A75D3"/>
    <w:rsid w:val="004B215D"/>
    <w:rsid w:val="004B4DB7"/>
    <w:rsid w:val="004B550C"/>
    <w:rsid w:val="004C259C"/>
    <w:rsid w:val="004C29E0"/>
    <w:rsid w:val="004D1104"/>
    <w:rsid w:val="004D159C"/>
    <w:rsid w:val="004D7760"/>
    <w:rsid w:val="004E7329"/>
    <w:rsid w:val="00500AF9"/>
    <w:rsid w:val="00505C1A"/>
    <w:rsid w:val="005072CC"/>
    <w:rsid w:val="005076B2"/>
    <w:rsid w:val="00512D44"/>
    <w:rsid w:val="00524568"/>
    <w:rsid w:val="005312C1"/>
    <w:rsid w:val="00532B48"/>
    <w:rsid w:val="0053610C"/>
    <w:rsid w:val="0054700D"/>
    <w:rsid w:val="00567F30"/>
    <w:rsid w:val="00586B34"/>
    <w:rsid w:val="00594F1E"/>
    <w:rsid w:val="005A0FFB"/>
    <w:rsid w:val="005B3071"/>
    <w:rsid w:val="005B3B35"/>
    <w:rsid w:val="005B3EB6"/>
    <w:rsid w:val="005B50F0"/>
    <w:rsid w:val="005D368B"/>
    <w:rsid w:val="005D5735"/>
    <w:rsid w:val="005F2DB0"/>
    <w:rsid w:val="0061590B"/>
    <w:rsid w:val="00636420"/>
    <w:rsid w:val="00656904"/>
    <w:rsid w:val="00675DA2"/>
    <w:rsid w:val="00681938"/>
    <w:rsid w:val="00681BFA"/>
    <w:rsid w:val="00683591"/>
    <w:rsid w:val="006867B8"/>
    <w:rsid w:val="00687AD3"/>
    <w:rsid w:val="00692E4F"/>
    <w:rsid w:val="00697EED"/>
    <w:rsid w:val="006A60E5"/>
    <w:rsid w:val="006B6283"/>
    <w:rsid w:val="006D1E20"/>
    <w:rsid w:val="006D2B3C"/>
    <w:rsid w:val="006D30B4"/>
    <w:rsid w:val="006D3665"/>
    <w:rsid w:val="006D40C7"/>
    <w:rsid w:val="006D7E72"/>
    <w:rsid w:val="006E20C8"/>
    <w:rsid w:val="006E4FA8"/>
    <w:rsid w:val="006E65C6"/>
    <w:rsid w:val="006F4D8E"/>
    <w:rsid w:val="006F7BDC"/>
    <w:rsid w:val="00714CD0"/>
    <w:rsid w:val="007163D0"/>
    <w:rsid w:val="007175D1"/>
    <w:rsid w:val="00725613"/>
    <w:rsid w:val="00731C0F"/>
    <w:rsid w:val="00741857"/>
    <w:rsid w:val="00747741"/>
    <w:rsid w:val="007551AE"/>
    <w:rsid w:val="00770213"/>
    <w:rsid w:val="00772868"/>
    <w:rsid w:val="00772E85"/>
    <w:rsid w:val="0077491B"/>
    <w:rsid w:val="0079382E"/>
    <w:rsid w:val="007A0701"/>
    <w:rsid w:val="007A6FAE"/>
    <w:rsid w:val="007B4A2A"/>
    <w:rsid w:val="007B6732"/>
    <w:rsid w:val="007C4860"/>
    <w:rsid w:val="007D26DD"/>
    <w:rsid w:val="007E1C9E"/>
    <w:rsid w:val="007E46E2"/>
    <w:rsid w:val="007E795B"/>
    <w:rsid w:val="007F318D"/>
    <w:rsid w:val="00803C3E"/>
    <w:rsid w:val="00805FA4"/>
    <w:rsid w:val="0081611F"/>
    <w:rsid w:val="0084082A"/>
    <w:rsid w:val="00852681"/>
    <w:rsid w:val="0085607A"/>
    <w:rsid w:val="00856349"/>
    <w:rsid w:val="00861877"/>
    <w:rsid w:val="00863F44"/>
    <w:rsid w:val="00866006"/>
    <w:rsid w:val="008676C2"/>
    <w:rsid w:val="008708B6"/>
    <w:rsid w:val="0088071B"/>
    <w:rsid w:val="008863FE"/>
    <w:rsid w:val="0089754F"/>
    <w:rsid w:val="008A0552"/>
    <w:rsid w:val="008B229C"/>
    <w:rsid w:val="008B24B9"/>
    <w:rsid w:val="008B37E5"/>
    <w:rsid w:val="008B390F"/>
    <w:rsid w:val="008C263E"/>
    <w:rsid w:val="008C60EA"/>
    <w:rsid w:val="008D276A"/>
    <w:rsid w:val="008D6790"/>
    <w:rsid w:val="008F00B2"/>
    <w:rsid w:val="00916CEA"/>
    <w:rsid w:val="0092511F"/>
    <w:rsid w:val="00925FA4"/>
    <w:rsid w:val="00930969"/>
    <w:rsid w:val="009406F4"/>
    <w:rsid w:val="00941783"/>
    <w:rsid w:val="009541B9"/>
    <w:rsid w:val="009550DD"/>
    <w:rsid w:val="0097344A"/>
    <w:rsid w:val="009865F7"/>
    <w:rsid w:val="0099118F"/>
    <w:rsid w:val="00993202"/>
    <w:rsid w:val="009933E6"/>
    <w:rsid w:val="009952A2"/>
    <w:rsid w:val="009B353D"/>
    <w:rsid w:val="009C4C7F"/>
    <w:rsid w:val="009D262F"/>
    <w:rsid w:val="009D2B3B"/>
    <w:rsid w:val="009D33FC"/>
    <w:rsid w:val="009D39C6"/>
    <w:rsid w:val="009E1D27"/>
    <w:rsid w:val="009E2529"/>
    <w:rsid w:val="009E6F48"/>
    <w:rsid w:val="009E77D7"/>
    <w:rsid w:val="009F262C"/>
    <w:rsid w:val="009F5F61"/>
    <w:rsid w:val="00A00EFC"/>
    <w:rsid w:val="00A05696"/>
    <w:rsid w:val="00A112A4"/>
    <w:rsid w:val="00A118BD"/>
    <w:rsid w:val="00A16A43"/>
    <w:rsid w:val="00A26BD0"/>
    <w:rsid w:val="00A3228F"/>
    <w:rsid w:val="00A32908"/>
    <w:rsid w:val="00A4080B"/>
    <w:rsid w:val="00A45F17"/>
    <w:rsid w:val="00A464F3"/>
    <w:rsid w:val="00A73FFD"/>
    <w:rsid w:val="00A85347"/>
    <w:rsid w:val="00A923B4"/>
    <w:rsid w:val="00AA21E7"/>
    <w:rsid w:val="00AA4932"/>
    <w:rsid w:val="00AA65F4"/>
    <w:rsid w:val="00AA7D09"/>
    <w:rsid w:val="00AB041C"/>
    <w:rsid w:val="00AB3CAC"/>
    <w:rsid w:val="00AB5447"/>
    <w:rsid w:val="00AC7796"/>
    <w:rsid w:val="00AD481A"/>
    <w:rsid w:val="00AD546C"/>
    <w:rsid w:val="00AE2A3F"/>
    <w:rsid w:val="00AE5E4A"/>
    <w:rsid w:val="00AE6F50"/>
    <w:rsid w:val="00B0095D"/>
    <w:rsid w:val="00B04776"/>
    <w:rsid w:val="00B27E7F"/>
    <w:rsid w:val="00B342BA"/>
    <w:rsid w:val="00B36D99"/>
    <w:rsid w:val="00B42DC6"/>
    <w:rsid w:val="00B462E2"/>
    <w:rsid w:val="00B572CD"/>
    <w:rsid w:val="00B629BB"/>
    <w:rsid w:val="00B7373C"/>
    <w:rsid w:val="00B95174"/>
    <w:rsid w:val="00BD4B7D"/>
    <w:rsid w:val="00BD592A"/>
    <w:rsid w:val="00BE30B7"/>
    <w:rsid w:val="00BE31E9"/>
    <w:rsid w:val="00BE3AFF"/>
    <w:rsid w:val="00BE41F4"/>
    <w:rsid w:val="00BE599D"/>
    <w:rsid w:val="00BF4BF5"/>
    <w:rsid w:val="00BF5DE0"/>
    <w:rsid w:val="00C0071B"/>
    <w:rsid w:val="00C00E61"/>
    <w:rsid w:val="00C02727"/>
    <w:rsid w:val="00C074FB"/>
    <w:rsid w:val="00C1003F"/>
    <w:rsid w:val="00C21B31"/>
    <w:rsid w:val="00C31C59"/>
    <w:rsid w:val="00C3378F"/>
    <w:rsid w:val="00C37DA2"/>
    <w:rsid w:val="00C42CC8"/>
    <w:rsid w:val="00C44779"/>
    <w:rsid w:val="00C46703"/>
    <w:rsid w:val="00C47238"/>
    <w:rsid w:val="00C47FDE"/>
    <w:rsid w:val="00C604AA"/>
    <w:rsid w:val="00C61905"/>
    <w:rsid w:val="00C710DF"/>
    <w:rsid w:val="00C734AA"/>
    <w:rsid w:val="00C76A7A"/>
    <w:rsid w:val="00C774E5"/>
    <w:rsid w:val="00CA6F70"/>
    <w:rsid w:val="00CA7EAA"/>
    <w:rsid w:val="00CB1876"/>
    <w:rsid w:val="00CB1DD2"/>
    <w:rsid w:val="00CC3CEE"/>
    <w:rsid w:val="00CC5FC5"/>
    <w:rsid w:val="00CC64E9"/>
    <w:rsid w:val="00CC7C8B"/>
    <w:rsid w:val="00CD07A6"/>
    <w:rsid w:val="00CD0BD3"/>
    <w:rsid w:val="00CD6C6E"/>
    <w:rsid w:val="00CF2488"/>
    <w:rsid w:val="00CF3536"/>
    <w:rsid w:val="00CF3E52"/>
    <w:rsid w:val="00D20EF8"/>
    <w:rsid w:val="00D22DC5"/>
    <w:rsid w:val="00D23067"/>
    <w:rsid w:val="00D35C36"/>
    <w:rsid w:val="00D50E3A"/>
    <w:rsid w:val="00D56E35"/>
    <w:rsid w:val="00D768AF"/>
    <w:rsid w:val="00DA3707"/>
    <w:rsid w:val="00DB3148"/>
    <w:rsid w:val="00DB392F"/>
    <w:rsid w:val="00DB59AB"/>
    <w:rsid w:val="00DC319B"/>
    <w:rsid w:val="00DC34B7"/>
    <w:rsid w:val="00DC5E23"/>
    <w:rsid w:val="00DC7299"/>
    <w:rsid w:val="00DD1DD8"/>
    <w:rsid w:val="00DD27D4"/>
    <w:rsid w:val="00DD573A"/>
    <w:rsid w:val="00DE7E03"/>
    <w:rsid w:val="00DF3A82"/>
    <w:rsid w:val="00DF3EC3"/>
    <w:rsid w:val="00DF5667"/>
    <w:rsid w:val="00E04BDD"/>
    <w:rsid w:val="00E11DF5"/>
    <w:rsid w:val="00E12025"/>
    <w:rsid w:val="00E133C5"/>
    <w:rsid w:val="00E22707"/>
    <w:rsid w:val="00E244FD"/>
    <w:rsid w:val="00E34B5A"/>
    <w:rsid w:val="00E40313"/>
    <w:rsid w:val="00E41743"/>
    <w:rsid w:val="00E447B7"/>
    <w:rsid w:val="00E535BC"/>
    <w:rsid w:val="00E55EC5"/>
    <w:rsid w:val="00E76B28"/>
    <w:rsid w:val="00E77737"/>
    <w:rsid w:val="00E7776D"/>
    <w:rsid w:val="00E80916"/>
    <w:rsid w:val="00E87BB4"/>
    <w:rsid w:val="00E902E4"/>
    <w:rsid w:val="00E95F30"/>
    <w:rsid w:val="00E9729B"/>
    <w:rsid w:val="00EA31F1"/>
    <w:rsid w:val="00EA473D"/>
    <w:rsid w:val="00EA5AC5"/>
    <w:rsid w:val="00EB50D4"/>
    <w:rsid w:val="00EC2666"/>
    <w:rsid w:val="00ED310A"/>
    <w:rsid w:val="00EE4344"/>
    <w:rsid w:val="00EF214D"/>
    <w:rsid w:val="00F0131E"/>
    <w:rsid w:val="00F07901"/>
    <w:rsid w:val="00F276D6"/>
    <w:rsid w:val="00F302A4"/>
    <w:rsid w:val="00F30EEA"/>
    <w:rsid w:val="00F35FF9"/>
    <w:rsid w:val="00F51902"/>
    <w:rsid w:val="00F57299"/>
    <w:rsid w:val="00F614B0"/>
    <w:rsid w:val="00F65376"/>
    <w:rsid w:val="00F67267"/>
    <w:rsid w:val="00F736DB"/>
    <w:rsid w:val="00F77598"/>
    <w:rsid w:val="00F804C6"/>
    <w:rsid w:val="00F80F66"/>
    <w:rsid w:val="00F84E87"/>
    <w:rsid w:val="00F929E5"/>
    <w:rsid w:val="00F93696"/>
    <w:rsid w:val="00F959B1"/>
    <w:rsid w:val="00FA08DF"/>
    <w:rsid w:val="00FB4BA8"/>
    <w:rsid w:val="00FC0507"/>
    <w:rsid w:val="00FC6FA0"/>
    <w:rsid w:val="00FE06BA"/>
    <w:rsid w:val="00FE3F90"/>
    <w:rsid w:val="00FE614E"/>
    <w:rsid w:val="00FF4634"/>
    <w:rsid w:val="00FF47CD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3420B"/>
  <w15:chartTrackingRefBased/>
  <w15:docId w15:val="{A86A46EA-979D-43EA-8242-7650F764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3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9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9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9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9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9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9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9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9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9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9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EthylHeader,字元2"/>
    <w:basedOn w:val="Normal"/>
    <w:link w:val="EncabezadoCar"/>
    <w:uiPriority w:val="99"/>
    <w:unhideWhenUsed/>
    <w:rsid w:val="00084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thylHeader Car,字元2 Car"/>
    <w:basedOn w:val="Fuentedeprrafopredeter"/>
    <w:link w:val="Encabezado"/>
    <w:uiPriority w:val="99"/>
    <w:rsid w:val="000841B5"/>
    <w:rPr>
      <w:lang w:val="es"/>
    </w:rPr>
  </w:style>
  <w:style w:type="paragraph" w:styleId="Piedepgina">
    <w:name w:val="footer"/>
    <w:basedOn w:val="Normal"/>
    <w:link w:val="PiedepginaCar"/>
    <w:uiPriority w:val="99"/>
    <w:unhideWhenUsed/>
    <w:rsid w:val="00084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1B5"/>
    <w:rPr>
      <w:lang w:val="es"/>
    </w:rPr>
  </w:style>
  <w:style w:type="character" w:styleId="Refdecomentario">
    <w:name w:val="annotation reference"/>
    <w:rsid w:val="0035000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00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350003"/>
    <w:rPr>
      <w:rFonts w:ascii="Times New Roman" w:eastAsia="Times New Roman" w:hAnsi="Times New Roman" w:cs="Times New Roman"/>
      <w:kern w:val="0"/>
      <w:sz w:val="20"/>
      <w:szCs w:val="20"/>
      <w:lang w:val="es" w:eastAsia="es-ES"/>
      <w14:ligatures w14:val="none"/>
    </w:rPr>
  </w:style>
  <w:style w:type="paragraph" w:styleId="Revisin">
    <w:name w:val="Revision"/>
    <w:hidden/>
    <w:uiPriority w:val="99"/>
    <w:semiHidden/>
    <w:rsid w:val="00A118BD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8B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8BD"/>
    <w:rPr>
      <w:rFonts w:ascii="Times New Roman" w:eastAsia="Times New Roman" w:hAnsi="Times New Roman" w:cs="Times New Roman"/>
      <w:b/>
      <w:bCs/>
      <w:kern w:val="0"/>
      <w:sz w:val="20"/>
      <w:szCs w:val="20"/>
      <w:lang w:val="es" w:eastAsia="es-ES"/>
      <w14:ligatures w14:val="none"/>
    </w:rPr>
  </w:style>
  <w:style w:type="table" w:styleId="Tablaconcuadrcula">
    <w:name w:val="Table Grid"/>
    <w:basedOn w:val="Tablanormal"/>
    <w:uiPriority w:val="39"/>
    <w:rsid w:val="0038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5E23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5E2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C7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A0701"/>
    <w:pPr>
      <w:spacing w:after="0" w:line="240" w:lineRule="auto"/>
    </w:pPr>
  </w:style>
  <w:style w:type="paragraph" w:customStyle="1" w:styleId="Default">
    <w:name w:val="Default"/>
    <w:rsid w:val="0086187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05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05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0507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81B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5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ef.org/projects-operations/projects/111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etgold.org/sites/default/files/Guidance%20on%20Calculation%20of%20Cross%20Program%20Indicators_SP%20final_01-2024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C42EFB-DDC7-4902-A60F-38C5C74A50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6</Pages>
  <Words>1976</Words>
  <Characters>11265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josegil@responsiblemines.org</dc:creator>
  <cp:keywords/>
  <dc:description/>
  <cp:lastModifiedBy>Mauricio José Rodas Brítez</cp:lastModifiedBy>
  <cp:revision>43</cp:revision>
  <cp:lastPrinted>2025-02-21T16:59:00Z</cp:lastPrinted>
  <dcterms:created xsi:type="dcterms:W3CDTF">2025-04-18T15:46:00Z</dcterms:created>
  <dcterms:modified xsi:type="dcterms:W3CDTF">2026-06-01T18:15:00Z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715ab6ca-d2db-4e38-a2da-66dadfee71f0</vt:lpwstr>
  </property>
</Properties>
</file>