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PROYECTO ABE CHACO </w:t>
      </w:r>
    </w:p>
    <w:p w:rsidR="00000000" w:rsidDel="00000000" w:rsidP="00000000" w:rsidRDefault="00000000" w:rsidRPr="00000000" w14:paraId="00000002">
      <w:pPr>
        <w:spacing w:line="276" w:lineRule="auto"/>
        <w:jc w:val="center"/>
        <w:rPr>
          <w:rFonts w:ascii="Roboto" w:cs="Roboto" w:eastAsia="Roboto" w:hAnsi="Roboto"/>
          <w:b w:val="1"/>
          <w:sz w:val="20"/>
          <w:szCs w:val="20"/>
        </w:rPr>
      </w:pPr>
      <w:r w:rsidDel="00000000" w:rsidR="00000000" w:rsidRPr="00000000">
        <w:rPr>
          <w:rFonts w:ascii="Roboto" w:cs="Roboto" w:eastAsia="Roboto" w:hAnsi="Roboto"/>
          <w:b w:val="1"/>
          <w:rtl w:val="0"/>
        </w:rPr>
        <w:t xml:space="preserve">Llamado de Adquisiciones 001/2025 – Compra de Tanques de Agua</w:t>
      </w: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03">
      <w:pPr>
        <w:spacing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Solicitud de presentación de oferta.</w:t>
      </w:r>
    </w:p>
    <w:p w:rsidR="00000000" w:rsidDel="00000000" w:rsidP="00000000" w:rsidRDefault="00000000" w:rsidRPr="00000000" w14:paraId="00000004">
      <w:pPr>
        <w:spacing w:line="276"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Estimado proveedor</w:t>
      </w:r>
    </w:p>
    <w:p w:rsidR="00000000" w:rsidDel="00000000" w:rsidP="00000000" w:rsidRDefault="00000000" w:rsidRPr="00000000" w14:paraId="00000005">
      <w:pPr>
        <w:spacing w:line="276" w:lineRule="auto"/>
        <w:jc w:val="both"/>
        <w:rPr>
          <w:rFonts w:ascii="Roboto" w:cs="Roboto" w:eastAsia="Roboto" w:hAnsi="Roboto"/>
          <w:sz w:val="20"/>
          <w:szCs w:val="20"/>
        </w:rPr>
      </w:pPr>
      <w:bookmarkStart w:colFirst="0" w:colLast="0" w:name="_heading=h.audx13ooz9vz" w:id="0"/>
      <w:bookmarkEnd w:id="0"/>
      <w:r w:rsidDel="00000000" w:rsidR="00000000" w:rsidRPr="00000000">
        <w:rPr>
          <w:rFonts w:ascii="Roboto" w:cs="Roboto" w:eastAsia="Roboto" w:hAnsi="Roboto"/>
          <w:sz w:val="20"/>
          <w:szCs w:val="20"/>
          <w:rtl w:val="0"/>
        </w:rPr>
        <w:t xml:space="preserve">Para contribuir a la reducción de la vulnerabilidad a la seguridad alimentaria en la región occidental del Paraguay, Chaco, el Programa de las Naciones Unidas para el Medio Ambiente (PNUMA), junto con el Ministerio de Ambiente y Desarrollo Sostenible del Paraguay (MADES), están implementando el Proyecto “Ecosistema- Adaptación basada en la reducción de la vulnerabilidad de la seguridad alimentaria ante los efectos del cambio climático en la región del Chaco del Paraguay” (Proyecto ABE Chaco).</w:t>
      </w:r>
    </w:p>
    <w:p w:rsidR="00000000" w:rsidDel="00000000" w:rsidP="00000000" w:rsidRDefault="00000000" w:rsidRPr="00000000" w14:paraId="00000006">
      <w:pPr>
        <w:spacing w:line="276"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este contexto, el proyecto busca comprar tanques de fibra de vidrio para mejorar la recolección de agua de lluvia en comunidades participantes seleccionadas. Por favor proporcione una cotización para los productos que se describen a continuación, de acuerdo con el anexo II: Tabla de presupuesto:</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Servicios/Insumos requeridos:</w:t>
      </w:r>
    </w:p>
    <w:tbl>
      <w:tblPr>
        <w:tblStyle w:val="Table1"/>
        <w:tblW w:w="8505.000000000002" w:type="dxa"/>
        <w:jc w:val="center"/>
        <w:tblLayout w:type="fixed"/>
        <w:tblLook w:val="0400"/>
      </w:tblPr>
      <w:tblGrid>
        <w:gridCol w:w="1025"/>
        <w:gridCol w:w="1238"/>
        <w:gridCol w:w="3261"/>
        <w:gridCol w:w="2981"/>
        <w:tblGridChange w:id="0">
          <w:tblGrid>
            <w:gridCol w:w="1025"/>
            <w:gridCol w:w="1238"/>
            <w:gridCol w:w="3261"/>
            <w:gridCol w:w="2981"/>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spacing w:after="0" w:line="276" w:lineRule="auto"/>
              <w:jc w:val="center"/>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Cantidad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9">
            <w:pPr>
              <w:spacing w:after="0" w:line="276" w:lineRule="auto"/>
              <w:jc w:val="center"/>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Elementos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0A">
            <w:pPr>
              <w:spacing w:after="0" w:line="276" w:lineRule="auto"/>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Características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spacing w:after="0" w:line="276" w:lineRule="auto"/>
              <w:jc w:val="center"/>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Lugar de entrega</w:t>
            </w:r>
          </w:p>
        </w:tc>
      </w:tr>
      <w:tr>
        <w:trPr>
          <w:cantSplit w:val="0"/>
          <w:trHeight w:val="121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after="0" w:line="276" w:lineRule="auto"/>
              <w:jc w:val="center"/>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Tanques de 20.000 litros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0E">
            <w:pPr>
              <w:spacing w:after="0" w:line="276" w:lineRule="auto"/>
              <w:rPr>
                <w:rFonts w:ascii="Roboto" w:cs="Roboto" w:eastAsia="Roboto" w:hAnsi="Roboto"/>
                <w:color w:val="000000"/>
                <w:sz w:val="20"/>
                <w:szCs w:val="20"/>
                <w:highlight w:val="cyan"/>
              </w:rPr>
            </w:pPr>
            <w:r w:rsidDel="00000000" w:rsidR="00000000" w:rsidRPr="00000000">
              <w:rPr>
                <w:rFonts w:ascii="Roboto" w:cs="Roboto" w:eastAsia="Roboto" w:hAnsi="Roboto"/>
                <w:color w:val="000000"/>
                <w:sz w:val="20"/>
                <w:szCs w:val="20"/>
                <w:rtl w:val="0"/>
              </w:rPr>
              <w:t xml:space="preserve">Tanques de 20.000 litros, con escalera, tipo barril, fabricados en material plástico con fibra de vidrio reforzada o mejor calidad, con logo pintado del Gobierno del Paraguay – MADES, PNUMA, Fondo de Adaptación y AbE Chaco, incluyendo transporte y entrega.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Una (1) unidad para la Comunidad Pozo Hondo, Distrito de Mariscal Estigarribia, a 220 kilómetros de Mariscal Estigarribia, Chaco.</w:t>
            </w:r>
          </w:p>
        </w:tc>
      </w:tr>
      <w:tr>
        <w:trPr>
          <w:cantSplit w:val="0"/>
          <w:trHeight w:val="12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spacing w:after="0" w:line="276" w:lineRule="auto"/>
              <w:jc w:val="center"/>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255</w:t>
            </w:r>
          </w:p>
          <w:p w:rsidR="00000000" w:rsidDel="00000000" w:rsidP="00000000" w:rsidRDefault="00000000" w:rsidRPr="00000000" w14:paraId="00000011">
            <w:pPr>
              <w:spacing w:after="0" w:line="276" w:lineRule="auto"/>
              <w:jc w:val="center"/>
              <w:rPr>
                <w:rFonts w:ascii="Roboto" w:cs="Roboto" w:eastAsia="Roboto" w:hAnsi="Roboto"/>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Tanques de 5.000 litros</w:t>
            </w:r>
          </w:p>
          <w:p w:rsidR="00000000" w:rsidDel="00000000" w:rsidP="00000000" w:rsidRDefault="00000000" w:rsidRPr="00000000" w14:paraId="00000013">
            <w:pPr>
              <w:spacing w:after="0" w:line="276" w:lineRule="auto"/>
              <w:rPr>
                <w:rFonts w:ascii="Roboto" w:cs="Roboto" w:eastAsia="Roboto" w:hAnsi="Roboto"/>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4">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Tanques de 5.000 litros, tipo fibra de vidrio, con tapa, de material plástico con fibra de vidrio reforzada o mejor calidad, con tapón de salida de PVC roscable, con logo pintado del Gobierno del Paraguay – MADES, PNUMA, Fondo de Adaptación y AbE Chaco, incluyendo transporte y entrega.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Ciento sesenta y uno (161) unidades para Toro Pampa, Distrito de Fuerte Olimpo, a 300 km de Loma Plata, Chaco.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Veintiún (21) unidades para San Carlos, Distrito de Fuerte Olimpo, a 330 km de Loma Plata, Chaco.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Cuarenta y cuatro (44) unidades para María Auxiliadora, Distrito de Fuerte Olimpo, a 360 km de Loma Plata, Chaco.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Veintinueve (29) unidades para la Comunidad de Kilómetro 4, Zona General Díaz, a 230 km de Loma Plata, Chaco.</w:t>
            </w:r>
          </w:p>
        </w:tc>
      </w:tr>
      <w:tr>
        <w:trPr>
          <w:cantSplit w:val="0"/>
          <w:trHeight w:val="127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76" w:lineRule="auto"/>
              <w:jc w:val="center"/>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27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Tanques de 2.000 litros</w:t>
            </w:r>
          </w:p>
          <w:p w:rsidR="00000000" w:rsidDel="00000000" w:rsidP="00000000" w:rsidRDefault="00000000" w:rsidRPr="00000000" w14:paraId="0000001B">
            <w:pPr>
              <w:spacing w:after="0" w:line="276" w:lineRule="auto"/>
              <w:rPr>
                <w:rFonts w:ascii="Roboto" w:cs="Roboto" w:eastAsia="Roboto" w:hAnsi="Roboto"/>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C">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Tanques de 2.000 litros, tipo fibra de vidrio, con tapa, de material plástico con fibra de vidrio reforzada o mejor calidad, con tapón de salida de PVC roscable, con logo pintado del Gobierno del Paraguay – MADES, PNUMA, Fondo de Adaptación y AbE Chaco, incluyendo transporte y entrega.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Veinte y siete (27) unidades para Toro Pampa, Distrito de Fuerte Olimpo, a 300 km de Loma Plata, Chaco.</w:t>
            </w:r>
          </w:p>
        </w:tc>
      </w:tr>
      <w:tr>
        <w:trPr>
          <w:cantSplit w:val="0"/>
          <w:trHeight w:val="127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after="0" w:line="276" w:lineRule="auto"/>
              <w:jc w:val="center"/>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282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Accesorios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0">
            <w:pPr>
              <w:spacing w:after="0" w:line="276" w:lineRule="auto"/>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Grifo plástico de ½ roscable, cinta teflón para conexión, perforación adecuada para instalar grifo a 50 cm de la base, a 90° tomando como referencia el costado de la entrega.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1" w:right="0" w:hanging="211"/>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ser entregado en cada comunidad como accesorio a los tanques de 2,000 y 5,000 litros, en cantidades correlativas a unidades de tanques entregados.</w:t>
            </w:r>
          </w:p>
        </w:tc>
      </w:tr>
    </w:tbl>
    <w:p w:rsidR="00000000" w:rsidDel="00000000" w:rsidP="00000000" w:rsidRDefault="00000000" w:rsidRPr="00000000" w14:paraId="00000022">
      <w:pPr>
        <w:spacing w:line="276"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Condiciones generales: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El presupuesto debe estar a nombre de Investigación para el Desarrollo; Ruc: 80027207-2, debe contener fecha, vigencia de la oferta, tiempo de entrega e información del proveedor. Anexar a la propuesta documentos respaldatorios de la capacidad, solvencia y experiencia de la empresa (CCT, IVA de los últimos 3 años, facturas y/o contrato de ventas de productos similares).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Forma y Cronograma de Entrega: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El contrato tendrá una duración equivalente al Plazo de Entrega de los tanques de agua que será de sesenta (60) días, contados a partir de la emisión de la Orden de Compra.</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Condiciones específicas:</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Gastos de transporte incluidos.</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Debe incluirse una garantía mínima y compromiso de reparación en caso de fallas técnicas de seis (6) meses.</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Todos los tanques deberán incluir logos pintados del proyecto (AbE Chaco, Gobierno Nacional, MADES, Fondo de Adaptación y PNUMA) con salida con tapón.</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El valor a oferta o cotización debe incluir flete y mano de obra para carga y descarga de los tanques. Los costos deben incluirse de manera detallada.</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76" w:lineRule="auto"/>
        <w:ind w:left="144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Las entregas se realizarán a los responsables de Comisiones Vecinales y/o Juntas de saneamientos, y de la instalación de los tanques se encargarán las familias participantes con el técnico local responsable.</w:t>
      </w:r>
    </w:p>
    <w:p w:rsidR="00000000" w:rsidDel="00000000" w:rsidP="00000000" w:rsidRDefault="00000000" w:rsidRPr="00000000" w14:paraId="0000002B">
      <w:pPr>
        <w:spacing w:line="276" w:lineRule="auto"/>
        <w:jc w:val="both"/>
        <w:rPr/>
      </w:pPr>
      <w:r w:rsidDel="00000000" w:rsidR="00000000" w:rsidRPr="00000000">
        <w:rPr>
          <w:rFonts w:ascii="Roboto" w:cs="Roboto" w:eastAsia="Roboto" w:hAnsi="Roboto"/>
          <w:b w:val="1"/>
          <w:rtl w:val="0"/>
        </w:rPr>
        <w:t xml:space="preserve">Enviar </w:t>
      </w:r>
      <w:r w:rsidDel="00000000" w:rsidR="00000000" w:rsidRPr="00000000">
        <w:rPr>
          <w:rFonts w:ascii="Roboto" w:cs="Roboto" w:eastAsia="Roboto" w:hAnsi="Roboto"/>
          <w:b w:val="1"/>
          <w:u w:val="single"/>
          <w:rtl w:val="0"/>
        </w:rPr>
        <w:t xml:space="preserve">documentación de respaldo</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(ver criterios de selección Anexo I) </w:t>
      </w:r>
      <w:r w:rsidDel="00000000" w:rsidR="00000000" w:rsidRPr="00000000">
        <w:rPr>
          <w:rFonts w:ascii="Roboto" w:cs="Roboto" w:eastAsia="Roboto" w:hAnsi="Roboto"/>
          <w:b w:val="1"/>
          <w:rtl w:val="0"/>
        </w:rPr>
        <w:t xml:space="preserve">y </w:t>
      </w:r>
      <w:r w:rsidDel="00000000" w:rsidR="00000000" w:rsidRPr="00000000">
        <w:rPr>
          <w:rFonts w:ascii="Roboto" w:cs="Roboto" w:eastAsia="Roboto" w:hAnsi="Roboto"/>
          <w:b w:val="1"/>
          <w:u w:val="single"/>
          <w:rtl w:val="0"/>
        </w:rPr>
        <w:t xml:space="preserve">cotización </w:t>
      </w:r>
      <w:r w:rsidDel="00000000" w:rsidR="00000000" w:rsidRPr="00000000">
        <w:rPr>
          <w:rFonts w:ascii="Roboto" w:cs="Roboto" w:eastAsia="Roboto" w:hAnsi="Roboto"/>
          <w:rtl w:val="0"/>
        </w:rPr>
        <w:t xml:space="preserve">(utilizar Anexo II) </w:t>
      </w: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Karina Godoy, </w:t>
      </w:r>
      <w:hyperlink r:id="rId7">
        <w:r w:rsidDel="00000000" w:rsidR="00000000" w:rsidRPr="00000000">
          <w:rPr>
            <w:rFonts w:ascii="Roboto" w:cs="Roboto" w:eastAsia="Roboto" w:hAnsi="Roboto"/>
            <w:color w:val="0563c1"/>
            <w:u w:val="single"/>
            <w:rtl w:val="0"/>
          </w:rPr>
          <w:t xml:space="preserve">kgodoy@desarrollo.org.py</w:t>
        </w:r>
      </w:hyperlink>
      <w:r w:rsidDel="00000000" w:rsidR="00000000" w:rsidRPr="00000000">
        <w:rPr>
          <w:rFonts w:ascii="Roboto" w:cs="Roboto" w:eastAsia="Roboto" w:hAnsi="Roboto"/>
          <w:rtl w:val="0"/>
        </w:rPr>
        <w:t xml:space="preserve"> y José Gómez, </w:t>
      </w:r>
      <w:hyperlink r:id="rId8">
        <w:r w:rsidDel="00000000" w:rsidR="00000000" w:rsidRPr="00000000">
          <w:rPr>
            <w:rFonts w:ascii="Roboto" w:cs="Roboto" w:eastAsia="Roboto" w:hAnsi="Roboto"/>
            <w:color w:val="0563c1"/>
            <w:u w:val="single"/>
            <w:rtl w:val="0"/>
          </w:rPr>
          <w:t xml:space="preserve">jgomez@desarrollo.org.py</w:t>
        </w:r>
      </w:hyperlink>
      <w:r w:rsidDel="00000000" w:rsidR="00000000" w:rsidRPr="00000000">
        <w:rPr>
          <w:rtl w:val="0"/>
        </w:rPr>
      </w:r>
    </w:p>
    <w:p w:rsidR="00000000" w:rsidDel="00000000" w:rsidP="00000000" w:rsidRDefault="00000000" w:rsidRPr="00000000" w14:paraId="0000002C">
      <w:pPr>
        <w:spacing w:line="276" w:lineRule="auto"/>
        <w:rPr>
          <w:rFonts w:ascii="Roboto" w:cs="Roboto" w:eastAsia="Roboto" w:hAnsi="Roboto"/>
        </w:rPr>
      </w:pPr>
      <w:r w:rsidDel="00000000" w:rsidR="00000000" w:rsidRPr="00000000">
        <w:rPr>
          <w:rFonts w:ascii="Roboto" w:cs="Roboto" w:eastAsia="Roboto" w:hAnsi="Roboto"/>
          <w:rtl w:val="0"/>
        </w:rPr>
        <w:t xml:space="preserve">Asunto: Llamado de Adquisiciones 001/2025 – Compra de Tanques de Agua. </w:t>
      </w:r>
    </w:p>
    <w:p w:rsidR="00000000" w:rsidDel="00000000" w:rsidP="00000000" w:rsidRDefault="00000000" w:rsidRPr="00000000" w14:paraId="0000002D">
      <w:pPr>
        <w:spacing w:line="276" w:lineRule="auto"/>
        <w:rPr>
          <w:rFonts w:ascii="Roboto" w:cs="Roboto" w:eastAsia="Roboto" w:hAnsi="Roboto"/>
          <w:sz w:val="20"/>
          <w:szCs w:val="20"/>
        </w:rPr>
        <w:sectPr>
          <w:headerReference r:id="rId9" w:type="default"/>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2E">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PROYECTO ABE CHACO </w:t>
      </w:r>
    </w:p>
    <w:p w:rsidR="00000000" w:rsidDel="00000000" w:rsidP="00000000" w:rsidRDefault="00000000" w:rsidRPr="00000000" w14:paraId="0000002F">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ANEXO I:  </w:t>
      </w:r>
      <w:r w:rsidDel="00000000" w:rsidR="00000000" w:rsidRPr="00000000">
        <w:rPr>
          <w:rFonts w:ascii="Roboto" w:cs="Roboto" w:eastAsia="Roboto" w:hAnsi="Roboto"/>
          <w:sz w:val="20"/>
          <w:szCs w:val="20"/>
          <w:rtl w:val="0"/>
        </w:rPr>
        <w:t xml:space="preserve">Criterios de selección - TDR Adquisición y entrega de tanques en las comunidades participantes</w:t>
      </w:r>
      <w:r w:rsidDel="00000000" w:rsidR="00000000" w:rsidRPr="00000000">
        <w:rPr>
          <w:rtl w:val="0"/>
        </w:rPr>
      </w:r>
    </w:p>
    <w:p w:rsidR="00000000" w:rsidDel="00000000" w:rsidP="00000000" w:rsidRDefault="00000000" w:rsidRPr="00000000" w14:paraId="00000030">
      <w:pPr>
        <w:spacing w:after="0" w:line="276" w:lineRule="auto"/>
        <w:rPr>
          <w:rFonts w:ascii="Roboto" w:cs="Roboto" w:eastAsia="Roboto" w:hAnsi="Roboto"/>
          <w:b w:val="1"/>
          <w:sz w:val="20"/>
          <w:szCs w:val="20"/>
        </w:rPr>
      </w:pPr>
      <w:r w:rsidDel="00000000" w:rsidR="00000000" w:rsidRPr="00000000">
        <w:rPr>
          <w:rtl w:val="0"/>
        </w:rPr>
      </w:r>
    </w:p>
    <w:tbl>
      <w:tblPr>
        <w:tblStyle w:val="Table2"/>
        <w:tblW w:w="14161.0" w:type="dxa"/>
        <w:jc w:val="left"/>
        <w:tblLayout w:type="fixed"/>
        <w:tblLook w:val="0400"/>
      </w:tblPr>
      <w:tblGrid>
        <w:gridCol w:w="6191"/>
        <w:gridCol w:w="1034"/>
        <w:gridCol w:w="1122"/>
        <w:gridCol w:w="1064"/>
        <w:gridCol w:w="998"/>
        <w:gridCol w:w="1006"/>
        <w:gridCol w:w="941"/>
        <w:gridCol w:w="912"/>
        <w:gridCol w:w="893"/>
        <w:tblGridChange w:id="0">
          <w:tblGrid>
            <w:gridCol w:w="6191"/>
            <w:gridCol w:w="1034"/>
            <w:gridCol w:w="1122"/>
            <w:gridCol w:w="1064"/>
            <w:gridCol w:w="998"/>
            <w:gridCol w:w="1006"/>
            <w:gridCol w:w="941"/>
            <w:gridCol w:w="912"/>
            <w:gridCol w:w="893"/>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76"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2">
            <w:pPr>
              <w:spacing w:after="0" w:line="276"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Criterios de Selección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Proveedor 4</w:t>
            </w:r>
          </w:p>
        </w:tc>
      </w:tr>
      <w:tr>
        <w:trPr>
          <w:cantSplit w:val="0"/>
          <w:trHeight w:val="295"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76"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Criterios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cumple</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presenta una propuesta formal (cotización) con los requerimientos básicos. La oferta cuenta con información relevante (logo, dirigida a Investigación para el desarrollo, fecha, precio por cada ítem solicitado, cantidad, validez de la oferta, tiempo de entrega) y nombre del vendedor.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cuenta con Factura legal de servicios al día y Certificado de cumplimiento tributario. Adjunta Constancia del Registro Único del Contribuyente (RUC), Certificado de Cumplimiento Tributario vigente y Patente Comercial expedido por el Municipio correspondiente al oferente, referente al primer semestre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cuenta con experiencia mínima de tres (3) años de experiencia en provisión de tanques de agua de similares características. Favor compartir links a página web o redes sociales.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proporciona información de los Contratos y/o facturas de provisión de servicios similares a los cotizados</w:t>
            </w:r>
          </w:p>
          <w:p w:rsidR="00000000" w:rsidDel="00000000" w:rsidP="00000000" w:rsidRDefault="00000000" w:rsidRPr="00000000" w14:paraId="00000060">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que validen la experiencia previa mínima requerida.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ofrece garantía y reparación por causas técnicas de al menos 6 meses por los insumos entregados.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La oferta del oferente tiene una validez de 30 días, a partir de la presentación formal de la cotización.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ofrece sistemas funcionales, en buenas condiciones, flete y garantía de sus trabajos.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proporciona un plan de entrega que garantiza el cumplimiento del servicio en un plazo de 60 días desde la emisión de la Orden de Compra.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after="0" w:line="276" w:lineRule="auto"/>
              <w:jc w:val="center"/>
              <w:rPr>
                <w:rFonts w:ascii="Roboto" w:cs="Roboto" w:eastAsia="Roboto" w:hAnsi="Roboto"/>
                <w:b w:val="1"/>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 oferente presenta Posición Financiera:</w:t>
            </w:r>
          </w:p>
          <w:p w:rsidR="00000000" w:rsidDel="00000000" w:rsidP="00000000" w:rsidRDefault="00000000" w:rsidRPr="00000000" w14:paraId="0000008E">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Facturación Anual Promedio Mínima: Facturación promedio anual en los años 2022, 2023 y 2024 de al menos un monto de USD. 100.000, conforme a los datos de los balances presentados.</w:t>
            </w:r>
          </w:p>
          <w:p w:rsidR="00000000" w:rsidDel="00000000" w:rsidP="00000000" w:rsidRDefault="00000000" w:rsidRPr="00000000" w14:paraId="0000008F">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Indicadores Financieros: Teniendo en cuenta los años 2022, 2023 y 2024, con base en los estados financieros auditados de estos años (balances, incluidas todas las notas relacionadas y estados de ingresos), el oferente deberá cumplir con los siguientes indicadores financieros:</w:t>
            </w:r>
          </w:p>
          <w:p w:rsidR="00000000" w:rsidDel="00000000" w:rsidP="00000000" w:rsidRDefault="00000000" w:rsidRPr="00000000" w14:paraId="00000090">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 de Liquidez: activo corriente / pasivo corriente: Deberá ser igual o mayor que 1, en promedio, en los 3 últimos años.</w:t>
            </w:r>
          </w:p>
          <w:p w:rsidR="00000000" w:rsidDel="00000000" w:rsidP="00000000" w:rsidRDefault="00000000" w:rsidRPr="00000000" w14:paraId="00000091">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Endeudamiento: pasivo total / activo total: No deberá ser mayor a 0,80 en promedio, en los 3 últimos años.</w:t>
            </w:r>
          </w:p>
          <w:p w:rsidR="00000000" w:rsidDel="00000000" w:rsidP="00000000" w:rsidRDefault="00000000" w:rsidRPr="00000000" w14:paraId="00000092">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Rentabilidad: Porcentaje de utilidad después de impuestos o pérdida con respecto al Capital: El promedio en los últimos 3 años, no deberá ser negativo.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76" w:lineRule="auto"/>
              <w:jc w:val="center"/>
              <w:rPr>
                <w:rFonts w:ascii="Roboto" w:cs="Roboto" w:eastAsia="Roboto" w:hAnsi="Roboto"/>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76" w:lineRule="auto"/>
              <w:jc w:val="center"/>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9B">
      <w:pPr>
        <w:numPr>
          <w:ilvl w:val="0"/>
          <w:numId w:val="3"/>
        </w:numPr>
        <w:spacing w:after="0" w:line="276"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Se seleccionará el oferente que cumpla con la totalidad de los criterios y que ofrezca la oferta más competitiva.</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227965</wp:posOffset>
            </wp:positionV>
            <wp:extent cx="9538335" cy="4984750"/>
            <wp:effectExtent b="0" l="0" r="0" t="0"/>
            <wp:wrapNone/>
            <wp:docPr id="196260069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538335" cy="4984750"/>
                    </a:xfrm>
                    <a:prstGeom prst="rect"/>
                    <a:ln/>
                  </pic:spPr>
                </pic:pic>
              </a:graphicData>
            </a:graphic>
          </wp:anchor>
        </w:drawing>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headerReference r:id="rId11" w:type="default"/>
      <w:type w:val="nextPage"/>
      <w:pgSz w:h="11906" w:w="16838" w:orient="landscape"/>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-901382</wp:posOffset>
          </wp:positionH>
          <wp:positionV relativeFrom="paragraph">
            <wp:posOffset>-448308</wp:posOffset>
          </wp:positionV>
          <wp:extent cx="7772400" cy="831032"/>
          <wp:effectExtent b="0" l="0" r="0" t="0"/>
          <wp:wrapNone/>
          <wp:docPr id="1962600696" name="image2.png"/>
          <a:graphic>
            <a:graphicData uri="http://schemas.openxmlformats.org/drawingml/2006/picture">
              <pic:pic>
                <pic:nvPicPr>
                  <pic:cNvPr id="0" name="image2.png"/>
                  <pic:cNvPicPr preferRelativeResize="0"/>
                </pic:nvPicPr>
                <pic:blipFill>
                  <a:blip r:embed="rId1"/>
                  <a:srcRect b="104" l="0" r="0" t="0"/>
                  <a:stretch>
                    <a:fillRect/>
                  </a:stretch>
                </pic:blipFill>
                <pic:spPr>
                  <a:xfrm>
                    <a:off x="0" y="0"/>
                    <a:ext cx="7772400" cy="83103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-900429</wp:posOffset>
          </wp:positionH>
          <wp:positionV relativeFrom="paragraph">
            <wp:posOffset>-450214</wp:posOffset>
          </wp:positionV>
          <wp:extent cx="10682288" cy="1142160"/>
          <wp:effectExtent b="0" l="0" r="0" t="0"/>
          <wp:wrapNone/>
          <wp:docPr id="1962600697" name="image2.png"/>
          <a:graphic>
            <a:graphicData uri="http://schemas.openxmlformats.org/drawingml/2006/picture">
              <pic:pic>
                <pic:nvPicPr>
                  <pic:cNvPr id="0" name="image2.png"/>
                  <pic:cNvPicPr preferRelativeResize="0"/>
                </pic:nvPicPr>
                <pic:blipFill>
                  <a:blip r:embed="rId1"/>
                  <a:srcRect b="104" l="0" r="0" t="0"/>
                  <a:stretch>
                    <a:fillRect/>
                  </a:stretch>
                </pic:blipFill>
                <pic:spPr>
                  <a:xfrm>
                    <a:off x="0" y="0"/>
                    <a:ext cx="10682288" cy="1142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5CA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List Paragraph1"/>
    <w:basedOn w:val="Normal"/>
    <w:link w:val="PrrafodelistaCar"/>
    <w:uiPriority w:val="34"/>
    <w:qFormat w:val="1"/>
    <w:rsid w:val="00F95CAB"/>
    <w:pPr>
      <w:suppressAutoHyphens w:val="1"/>
      <w:spacing w:after="0" w:line="240" w:lineRule="auto"/>
      <w:ind w:left="708"/>
    </w:pPr>
    <w:rPr>
      <w:rFonts w:ascii="Times New Roman" w:cs="Times New Roman" w:eastAsia="Times New Roman" w:hAnsi="Times New Roman"/>
      <w:sz w:val="24"/>
      <w:szCs w:val="24"/>
      <w:lang w:eastAsia="zh-CN"/>
    </w:rPr>
  </w:style>
  <w:style w:type="character" w:styleId="PrrafodelistaCar" w:customStyle="1">
    <w:name w:val="Párrafo de lista Car"/>
    <w:aliases w:val="List Paragraph1 Car"/>
    <w:link w:val="Prrafodelista"/>
    <w:uiPriority w:val="34"/>
    <w:rsid w:val="00F95CAB"/>
    <w:rPr>
      <w:rFonts w:ascii="Times New Roman" w:cs="Times New Roman" w:eastAsia="Times New Roman" w:hAnsi="Times New Roman"/>
      <w:sz w:val="24"/>
      <w:szCs w:val="24"/>
      <w:lang w:eastAsia="zh-CN" w:val="es"/>
    </w:rPr>
  </w:style>
  <w:style w:type="paragraph" w:styleId="Textocomentario">
    <w:name w:val="annotation text"/>
    <w:basedOn w:val="Normal"/>
    <w:link w:val="TextocomentarioCar"/>
    <w:uiPriority w:val="99"/>
    <w:unhideWhenUsed w:val="1"/>
    <w:rsid w:val="00F95CAB"/>
    <w:pPr>
      <w:spacing w:line="240" w:lineRule="auto"/>
    </w:pPr>
    <w:rPr>
      <w:sz w:val="20"/>
      <w:szCs w:val="20"/>
    </w:rPr>
  </w:style>
  <w:style w:type="character" w:styleId="TextocomentarioCar" w:customStyle="1">
    <w:name w:val="Texto comentario Car"/>
    <w:basedOn w:val="Fuentedeprrafopredeter"/>
    <w:link w:val="Textocomentario"/>
    <w:uiPriority w:val="99"/>
    <w:rsid w:val="00F95CAB"/>
    <w:rPr>
      <w:sz w:val="20"/>
      <w:szCs w:val="20"/>
      <w:lang w:val="es"/>
    </w:rPr>
  </w:style>
  <w:style w:type="character" w:styleId="Refdecomentario">
    <w:name w:val="annotation reference"/>
    <w:basedOn w:val="Fuentedeprrafopredeter"/>
    <w:uiPriority w:val="99"/>
    <w:semiHidden w:val="1"/>
    <w:unhideWhenUsed w:val="1"/>
    <w:rsid w:val="00F95CAB"/>
    <w:rPr>
      <w:sz w:val="16"/>
      <w:szCs w:val="16"/>
    </w:rPr>
  </w:style>
  <w:style w:type="character" w:styleId="fontstyle01" w:customStyle="1">
    <w:name w:val="fontstyle01"/>
    <w:rsid w:val="00C365DA"/>
    <w:rPr>
      <w:rFonts w:ascii="Times-BoldItalic" w:hAnsi="Times-BoldItalic" w:hint="default"/>
      <w:b w:val="1"/>
      <w:bCs w:val="1"/>
      <w:i w:val="1"/>
      <w:iCs w:val="1"/>
      <w:color w:val="000000"/>
      <w:sz w:val="24"/>
      <w:szCs w:val="24"/>
    </w:rPr>
  </w:style>
  <w:style w:type="paragraph" w:styleId="Encabezado">
    <w:name w:val="header"/>
    <w:basedOn w:val="Normal"/>
    <w:link w:val="EncabezadoCar"/>
    <w:uiPriority w:val="99"/>
    <w:unhideWhenUsed w:val="1"/>
    <w:rsid w:val="00762EA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62EAA"/>
    <w:rPr>
      <w:lang w:val="es"/>
    </w:rPr>
  </w:style>
  <w:style w:type="paragraph" w:styleId="Piedepgina">
    <w:name w:val="footer"/>
    <w:basedOn w:val="Normal"/>
    <w:link w:val="PiedepginaCar"/>
    <w:uiPriority w:val="99"/>
    <w:unhideWhenUsed w:val="1"/>
    <w:rsid w:val="00762EA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62EAA"/>
    <w:rPr>
      <w:lang w:val="es"/>
    </w:rPr>
  </w:style>
  <w:style w:type="character" w:styleId="Mencionar">
    <w:name w:val="Mention"/>
    <w:basedOn w:val="Fuentedeprrafopredeter"/>
    <w:uiPriority w:val="99"/>
    <w:unhideWhenUsed w:val="1"/>
    <w:rsid w:val="003C0DE5"/>
    <w:rPr>
      <w:color w:val="2b579a"/>
      <w:shd w:color="auto" w:fill="e6e6e6" w:val="clear"/>
    </w:rPr>
  </w:style>
  <w:style w:type="character" w:styleId="Hipervnculo">
    <w:name w:val="Hyperlink"/>
    <w:basedOn w:val="Fuentedeprrafopredeter"/>
    <w:uiPriority w:val="99"/>
    <w:unhideWhenUsed w:val="1"/>
    <w:rsid w:val="007F3943"/>
    <w:rPr>
      <w:color w:val="0563c1" w:themeColor="hyperlink"/>
      <w:u w:val="single"/>
    </w:rPr>
  </w:style>
  <w:style w:type="character" w:styleId="Mencinsinresolver">
    <w:name w:val="Unresolved Mention"/>
    <w:basedOn w:val="Fuentedeprrafopredeter"/>
    <w:uiPriority w:val="99"/>
    <w:semiHidden w:val="1"/>
    <w:unhideWhenUsed w:val="1"/>
    <w:rsid w:val="005B7D1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1.pn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godoy@desarrollo.org.py" TargetMode="External"/><Relationship Id="rId8" Type="http://schemas.openxmlformats.org/officeDocument/2006/relationships/hyperlink" Target="mailto:jgomez@desarrollo.org.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smN7rM7iyklHbdRgmOA0fHyhA==">CgMxLjAyDmguYXVkeDEzb296OXZ6OAByITFPeXo1b05mUDllZVNDa2pVTHZvRWM3cTRPWVlYYzhMYg==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2025-03-17T15:30:00Z</dcterms:created>
  <dc:creator>Victor Basabe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df4466808a427d1abf23c0223703f9685e0fae2df5cb2aaf3611dd730b2e60bd</vt:lpwstr>
  </property>
  <property fmtid="{D5CDD505-2E9C-101B-9397-08002B2CF9AE}" pid="3" name="ContentTypeId">
    <vt:lpwstr>0x01010050275115DA1D204B919E54814F6945C8</vt:lpwstr>
  </property>
  <property fmtid="{D5CDD505-2E9C-101B-9397-08002B2CF9AE}" pid="4" name="MediaServiceImageTags">
    <vt:lpwstr/>
  </property>
</Properties>
</file>